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7992D" w14:textId="77777777" w:rsidR="00C006B3" w:rsidRDefault="00C006B3" w:rsidP="00C006B3">
      <w:pPr>
        <w:pStyle w:val="Title"/>
        <w:ind w:firstLine="0"/>
        <w:rPr>
          <w:sz w:val="48"/>
          <w:szCs w:val="48"/>
        </w:rPr>
      </w:pPr>
      <w:r>
        <w:rPr>
          <w:sz w:val="48"/>
          <w:szCs w:val="48"/>
        </w:rPr>
        <w:t>Message (In)Congruence: Tweeting While Competing for Donations</w:t>
      </w:r>
    </w:p>
    <w:p w14:paraId="212C12E4" w14:textId="77777777" w:rsidR="00C006B3" w:rsidRDefault="00C006B3" w:rsidP="00C006B3"/>
    <w:p w14:paraId="32DD6982" w14:textId="77777777" w:rsidR="00C006B3" w:rsidRDefault="00C006B3" w:rsidP="00C006B3">
      <w:pPr>
        <w:ind w:firstLine="0"/>
      </w:pPr>
      <w:r>
        <w:t xml:space="preserve">Jamie Levine Daniel, New York University, USA </w:t>
      </w:r>
    </w:p>
    <w:p w14:paraId="73255EF0" w14:textId="77777777" w:rsidR="00C006B3" w:rsidRDefault="00C006B3" w:rsidP="00C006B3">
      <w:pPr>
        <w:ind w:firstLine="0"/>
      </w:pPr>
      <w:r>
        <w:t>Cali Curley, University of Miami, USA</w:t>
      </w:r>
    </w:p>
    <w:p w14:paraId="7BB81EA9" w14:textId="107AA576" w:rsidR="00C006B3" w:rsidRDefault="00C006B3" w:rsidP="00C006B3">
      <w:pPr>
        <w:ind w:firstLine="0"/>
      </w:pPr>
      <w:r>
        <w:t>Marlene Walk, Albert-</w:t>
      </w:r>
      <w:proofErr w:type="spellStart"/>
      <w:r>
        <w:t>Ludwigs</w:t>
      </w:r>
      <w:proofErr w:type="spellEnd"/>
      <w:r>
        <w:t>-Universität Freiburg, Germany</w:t>
      </w:r>
    </w:p>
    <w:p w14:paraId="4C2A4FBF" w14:textId="0E422EDA" w:rsidR="00C006B3" w:rsidRDefault="00C006B3" w:rsidP="00C006B3">
      <w:pPr>
        <w:ind w:firstLine="0"/>
      </w:pPr>
    </w:p>
    <w:p w14:paraId="1C0C1A38" w14:textId="21F5ED43" w:rsidR="00C006B3" w:rsidRPr="00C006B3" w:rsidRDefault="00C006B3" w:rsidP="00C006B3">
      <w:pPr>
        <w:ind w:firstLine="0"/>
        <w:rPr>
          <w:i/>
        </w:rPr>
      </w:pPr>
      <w:r>
        <w:t>Forthcoming, a</w:t>
      </w:r>
      <w:bookmarkStart w:id="0" w:name="_GoBack"/>
      <w:bookmarkEnd w:id="0"/>
      <w:r>
        <w:t xml:space="preserve">ccepted for publication at </w:t>
      </w:r>
      <w:r>
        <w:rPr>
          <w:i/>
        </w:rPr>
        <w:t>Communication and the Public.</w:t>
      </w:r>
    </w:p>
    <w:p w14:paraId="797FE59E" w14:textId="3A98D370" w:rsidR="00C006B3" w:rsidRDefault="00C006B3" w:rsidP="00C006B3">
      <w:pPr>
        <w:ind w:firstLine="0"/>
      </w:pPr>
    </w:p>
    <w:p w14:paraId="1C2323D3" w14:textId="77777777" w:rsidR="00C006B3" w:rsidRDefault="00C006B3" w:rsidP="00C006B3">
      <w:pPr>
        <w:pStyle w:val="Heading1"/>
        <w:spacing w:line="480" w:lineRule="auto"/>
        <w:ind w:left="0" w:firstLine="0"/>
        <w:rPr>
          <w:rFonts w:ascii="Gill Sans" w:eastAsia="Gill Sans" w:hAnsi="Gill Sans" w:cs="Gill Sans"/>
          <w:sz w:val="33"/>
          <w:szCs w:val="33"/>
          <w:vertAlign w:val="superscript"/>
        </w:rPr>
      </w:pPr>
      <w:r>
        <w:t>Abstract</w:t>
      </w:r>
      <w:r>
        <w:rPr>
          <w:sz w:val="24"/>
          <w:szCs w:val="24"/>
        </w:rPr>
        <w:t>:</w:t>
      </w:r>
      <w:r>
        <w:rPr>
          <w:rFonts w:ascii="Gill Sans" w:eastAsia="Gill Sans" w:hAnsi="Gill Sans" w:cs="Gill Sans"/>
          <w:sz w:val="33"/>
          <w:szCs w:val="33"/>
          <w:vertAlign w:val="superscript"/>
        </w:rPr>
        <w:t xml:space="preserve"> </w:t>
      </w:r>
    </w:p>
    <w:p w14:paraId="33ED46DA" w14:textId="65589415" w:rsidR="00C006B3" w:rsidRPr="00C006B3" w:rsidRDefault="00C006B3" w:rsidP="00C006B3">
      <w:pPr>
        <w:pBdr>
          <w:top w:val="nil"/>
          <w:left w:val="nil"/>
          <w:bottom w:val="nil"/>
          <w:right w:val="nil"/>
          <w:between w:val="nil"/>
        </w:pBdr>
        <w:spacing w:line="480" w:lineRule="auto"/>
        <w:ind w:firstLine="0"/>
        <w:rPr>
          <w:color w:val="000000"/>
          <w:sz w:val="36"/>
          <w:szCs w:val="36"/>
          <w:vertAlign w:val="superscript"/>
        </w:rPr>
      </w:pPr>
      <w:r>
        <w:rPr>
          <w:color w:val="000000"/>
        </w:rPr>
        <w:t xml:space="preserve">Nonprofit organizations rely on social media to build relationships with their stakeholders and solicit the resources they need to provide their programs and services. This online activity takes place in an increasingly competitive environment. We draw on the situational theory of publics, stakeholder theory, giving motivation, and gamification to examine this question: When organizations engage in competitive philanthropy, what framing is more effective at generating donations on an online platform? We confirm the relationship between tweeting and donation solicitation and shed light on some specific types of messaging associated with increased donations. </w:t>
      </w:r>
    </w:p>
    <w:p w14:paraId="13F43F0A" w14:textId="1235D0CF" w:rsidR="00C006B3" w:rsidRPr="00C006B3" w:rsidRDefault="00C006B3" w:rsidP="00C006B3">
      <w:pPr>
        <w:pBdr>
          <w:top w:val="nil"/>
          <w:left w:val="nil"/>
          <w:bottom w:val="nil"/>
          <w:right w:val="nil"/>
          <w:between w:val="nil"/>
        </w:pBdr>
        <w:spacing w:line="480" w:lineRule="auto"/>
        <w:ind w:firstLine="0"/>
        <w:rPr>
          <w:color w:val="000000"/>
        </w:rPr>
      </w:pPr>
      <w:r>
        <w:rPr>
          <w:color w:val="000000"/>
        </w:rPr>
        <w:t>Key words: competition, social media, framing, nonprofit, donations</w:t>
      </w:r>
    </w:p>
    <w:p w14:paraId="78EA26BD" w14:textId="77777777" w:rsidR="00C006B3" w:rsidRDefault="00C006B3" w:rsidP="00C006B3">
      <w:pPr>
        <w:ind w:firstLine="0"/>
        <w:rPr>
          <w:color w:val="333333"/>
          <w:highlight w:val="white"/>
        </w:rPr>
      </w:pPr>
    </w:p>
    <w:p w14:paraId="52EC4080" w14:textId="56C905A3" w:rsidR="00C006B3" w:rsidRDefault="00C006B3" w:rsidP="00C006B3">
      <w:pPr>
        <w:ind w:firstLine="0"/>
        <w:rPr>
          <w:color w:val="333333"/>
          <w:highlight w:val="white"/>
        </w:rPr>
      </w:pPr>
      <w:r>
        <w:rPr>
          <w:color w:val="333333"/>
          <w:highlight w:val="white"/>
        </w:rPr>
        <w:t xml:space="preserve">Corresponding author: Jamie Levine Daniel, 295 W. Lafayette St. New York, NY 10012 Email: </w:t>
      </w:r>
      <w:hyperlink r:id="rId7" w:history="1">
        <w:r>
          <w:rPr>
            <w:rStyle w:val="Hyperlink"/>
            <w:color w:val="1155CC"/>
            <w:highlight w:val="white"/>
          </w:rPr>
          <w:t>jamie.levine.daniel@nyu.edu</w:t>
        </w:r>
      </w:hyperlink>
      <w:r>
        <w:rPr>
          <w:color w:val="333333"/>
          <w:highlight w:val="white"/>
        </w:rPr>
        <w:t xml:space="preserve">.  </w:t>
      </w:r>
    </w:p>
    <w:p w14:paraId="4F914C3B" w14:textId="77777777" w:rsidR="00C006B3" w:rsidRDefault="00C006B3" w:rsidP="00C006B3">
      <w:pPr>
        <w:ind w:firstLine="0"/>
        <w:rPr>
          <w:color w:val="333333"/>
          <w:highlight w:val="white"/>
        </w:rPr>
      </w:pPr>
    </w:p>
    <w:p w14:paraId="4C735C32" w14:textId="1787CB5C" w:rsidR="00C006B3" w:rsidRDefault="00C006B3" w:rsidP="00C006B3">
      <w:pPr>
        <w:ind w:firstLine="0"/>
        <w:rPr>
          <w:rFonts w:ascii="Arial" w:eastAsia="Arial" w:hAnsi="Arial" w:cs="Arial"/>
          <w:color w:val="333333"/>
          <w:highlight w:val="white"/>
        </w:rPr>
      </w:pPr>
      <w:r>
        <w:rPr>
          <w:color w:val="333333"/>
          <w:highlight w:val="white"/>
        </w:rPr>
        <w:t xml:space="preserve">Acknowledgements: This study was conducted while the authors were employed at the Paul H. O’Neill School of Public and Environmental Affairs at IUPUI. We are thankful for the collaboration with Brackets for Good. We are also thankful for support from our research assistants Emily Peterson and </w:t>
      </w:r>
      <w:proofErr w:type="spellStart"/>
      <w:r>
        <w:rPr>
          <w:color w:val="333333"/>
          <w:highlight w:val="white"/>
        </w:rPr>
        <w:t>DeeAndria</w:t>
      </w:r>
      <w:proofErr w:type="spellEnd"/>
      <w:r>
        <w:rPr>
          <w:color w:val="333333"/>
          <w:highlight w:val="white"/>
        </w:rPr>
        <w:t xml:space="preserve"> Hampton. This study was partly funded by grants from IUPUI's Sports Innovation Institute and Indiana University's Lilly Family School of Philanthropy.</w:t>
      </w:r>
    </w:p>
    <w:p w14:paraId="00A4C103" w14:textId="77777777" w:rsidR="00C006B3" w:rsidRDefault="00C006B3" w:rsidP="00C006B3"/>
    <w:p w14:paraId="0000000A" w14:textId="77777777" w:rsidR="00165A52" w:rsidRDefault="00165A52" w:rsidP="009E6967">
      <w:pPr>
        <w:pStyle w:val="Heading1"/>
        <w:spacing w:line="480" w:lineRule="auto"/>
      </w:pPr>
    </w:p>
    <w:p w14:paraId="1DA33DC1" w14:textId="77777777" w:rsidR="009E6967" w:rsidRDefault="009E6967">
      <w:pPr>
        <w:rPr>
          <w:sz w:val="32"/>
          <w:szCs w:val="32"/>
        </w:rPr>
      </w:pPr>
      <w:r>
        <w:lastRenderedPageBreak/>
        <w:br w:type="page"/>
      </w:r>
    </w:p>
    <w:p w14:paraId="0000000C" w14:textId="730A5AC8" w:rsidR="00165A52" w:rsidRDefault="00B02078" w:rsidP="009E6967">
      <w:pPr>
        <w:pStyle w:val="Heading1"/>
        <w:spacing w:line="480" w:lineRule="auto"/>
        <w:ind w:left="0" w:firstLine="0"/>
      </w:pPr>
      <w:r>
        <w:lastRenderedPageBreak/>
        <w:t>Introduction</w:t>
      </w:r>
    </w:p>
    <w:p w14:paraId="0000000E" w14:textId="1A84C871" w:rsidR="00165A52" w:rsidRPr="009E6967" w:rsidRDefault="00B02078" w:rsidP="009E6967">
      <w:pPr>
        <w:spacing w:line="480" w:lineRule="auto"/>
        <w:ind w:left="560" w:firstLine="0"/>
        <w:rPr>
          <w:i/>
          <w:iCs/>
        </w:rPr>
      </w:pPr>
      <w:r w:rsidRPr="009E6967">
        <w:rPr>
          <w:i/>
          <w:iCs/>
        </w:rPr>
        <w:t>“Nonprofits build relationships and expand audiences one retweet and one like at a time.” M+R Benchmarks</w:t>
      </w:r>
    </w:p>
    <w:p w14:paraId="0000000F" w14:textId="273C9FCE" w:rsidR="00165A52" w:rsidRDefault="00B02078" w:rsidP="009E6967">
      <w:pPr>
        <w:pBdr>
          <w:top w:val="nil"/>
          <w:left w:val="nil"/>
          <w:bottom w:val="nil"/>
          <w:right w:val="nil"/>
          <w:between w:val="nil"/>
        </w:pBdr>
        <w:spacing w:line="480" w:lineRule="auto"/>
        <w:ind w:firstLine="560"/>
        <w:rPr>
          <w:color w:val="000000"/>
        </w:rPr>
      </w:pPr>
      <w:r>
        <w:rPr>
          <w:color w:val="000000"/>
        </w:rPr>
        <w:t xml:space="preserve">Nonprofit organizations can help individuals acquire needed goods and services and navigate public space. These organizations connect individuals to larger societal institutions, representing what Berger and Neuhaus (1977) call mediating structures. Many nonprofits rely on donated income to deliver on their missions. When it comes to securing donations, we see three trends growing in prominence: online giving (Saxton &amp; Wang, 2014), social media use (Suh et al., 2021), and gamification (Curley et al., 2021; Walk et al., 2022). Mechanisms for giving are evolving, with an ever-growing reliance on web-based platforms. For example, MacLaughlin’s </w:t>
      </w:r>
      <w:r w:rsidR="00BB75D9">
        <w:rPr>
          <w:color w:val="000000"/>
        </w:rPr>
        <w:t xml:space="preserve">(2015) </w:t>
      </w:r>
      <w:r>
        <w:rPr>
          <w:color w:val="000000"/>
        </w:rPr>
        <w:t>study of 5,210 nonprofit organizations finds that online giving now accounts for 7.2% of total fundraising, resulting in $2.6 billion raised annually. Some online giving mechanisms are relatively straightforward, such as donation buttons on organization websites. At a minimum, organizations using this type of mechanism rely on donors to seek them out. Organizations can boost the likelihood of online fundraising success by using social media. Doing this may broaden the reach of an organization’s message, as research into effective engagement demonstrates (</w:t>
      </w:r>
      <w:proofErr w:type="spellStart"/>
      <w:r>
        <w:rPr>
          <w:color w:val="000000"/>
        </w:rPr>
        <w:t>Amtzis</w:t>
      </w:r>
      <w:proofErr w:type="spellEnd"/>
      <w:r>
        <w:rPr>
          <w:color w:val="000000"/>
        </w:rPr>
        <w:t xml:space="preserve">, 2014; </w:t>
      </w:r>
      <w:proofErr w:type="spellStart"/>
      <w:r>
        <w:rPr>
          <w:color w:val="000000"/>
        </w:rPr>
        <w:t>Carboni</w:t>
      </w:r>
      <w:proofErr w:type="spellEnd"/>
      <w:r>
        <w:rPr>
          <w:color w:val="000000"/>
        </w:rPr>
        <w:t xml:space="preserve"> &amp; Maxwell, 2015; Lovejoy &amp; Saxton, 2012; Paulin et al., 2014), but may result </w:t>
      </w:r>
      <w:r w:rsidR="00C851C0">
        <w:rPr>
          <w:color w:val="000000"/>
        </w:rPr>
        <w:t>in</w:t>
      </w:r>
      <w:r>
        <w:rPr>
          <w:color w:val="000000"/>
        </w:rPr>
        <w:t xml:space="preserve"> engagement (i.e., likes on Facebook, or retweets on Twitter</w:t>
      </w:r>
      <w:r>
        <w:rPr>
          <w:color w:val="000000"/>
          <w:sz w:val="26"/>
          <w:szCs w:val="26"/>
          <w:vertAlign w:val="superscript"/>
        </w:rPr>
        <w:t>1</w:t>
      </w:r>
      <w:r>
        <w:rPr>
          <w:color w:val="000000"/>
        </w:rPr>
        <w:t>) rather than monetary donations (</w:t>
      </w:r>
      <w:proofErr w:type="spellStart"/>
      <w:r>
        <w:rPr>
          <w:color w:val="000000"/>
        </w:rPr>
        <w:t>Lacetera</w:t>
      </w:r>
      <w:proofErr w:type="spellEnd"/>
      <w:r>
        <w:rPr>
          <w:color w:val="000000"/>
        </w:rPr>
        <w:t xml:space="preserve"> et al., 2015).</w:t>
      </w:r>
    </w:p>
    <w:p w14:paraId="00000010" w14:textId="3F229E3E" w:rsidR="00165A52" w:rsidRDefault="00B02078" w:rsidP="009E6967">
      <w:pPr>
        <w:pBdr>
          <w:top w:val="nil"/>
          <w:left w:val="nil"/>
          <w:bottom w:val="nil"/>
          <w:right w:val="nil"/>
          <w:between w:val="nil"/>
        </w:pBdr>
        <w:spacing w:line="480" w:lineRule="auto"/>
        <w:ind w:firstLine="560"/>
        <w:rPr>
          <w:color w:val="000000"/>
        </w:rPr>
      </w:pPr>
      <w:r>
        <w:rPr>
          <w:color w:val="000000"/>
        </w:rPr>
        <w:t>Social media practices that successfully generate revenue reflect a combination of</w:t>
      </w:r>
      <w:r>
        <w:rPr>
          <w:rFonts w:ascii="Gill Sans" w:eastAsia="Gill Sans" w:hAnsi="Gill Sans" w:cs="Gill Sans"/>
          <w:color w:val="000000"/>
          <w:sz w:val="20"/>
          <w:szCs w:val="20"/>
        </w:rPr>
        <w:t xml:space="preserve"> </w:t>
      </w:r>
      <w:r>
        <w:rPr>
          <w:color w:val="000000"/>
        </w:rPr>
        <w:t>factors: nonprofit social media use, donor social media use, and strategies motivating both in-app and out-of-app behavior. We know something about how nonprofits like to use social media, often through case studies (</w:t>
      </w:r>
      <w:proofErr w:type="spellStart"/>
      <w:r>
        <w:rPr>
          <w:color w:val="000000"/>
        </w:rPr>
        <w:t>Abeza</w:t>
      </w:r>
      <w:proofErr w:type="spellEnd"/>
      <w:r>
        <w:rPr>
          <w:color w:val="000000"/>
        </w:rPr>
        <w:t xml:space="preserve"> &amp; O’Reilly, 2014; Briones et al., 2010; Campbell et al., 2014). We </w:t>
      </w:r>
      <w:r>
        <w:rPr>
          <w:color w:val="000000"/>
        </w:rPr>
        <w:lastRenderedPageBreak/>
        <w:t>know a bit about (potential) donor social media use and giving patterns. For example, M+R Benchmarks found that 38% of donors making an online gift in 2016 repeat the gift to the organization a year later. We know something about the strategies for motivating in-app behavior such as likes and retweets (Guo &amp; Saxton, 2014). We also know a little bit about the connection between an organization’s online activity and financial performance (Lee, 2021) and what (if anything) motivates out-of-app behavior (e.g., donations), including social media activity and audience engagement/familiarity with the organization (</w:t>
      </w:r>
      <w:proofErr w:type="spellStart"/>
      <w:r>
        <w:rPr>
          <w:color w:val="000000"/>
        </w:rPr>
        <w:t>Bhati</w:t>
      </w:r>
      <w:proofErr w:type="spellEnd"/>
      <w:r>
        <w:rPr>
          <w:color w:val="000000"/>
        </w:rPr>
        <w:t xml:space="preserve"> &amp; </w:t>
      </w:r>
      <w:proofErr w:type="spellStart"/>
      <w:r>
        <w:rPr>
          <w:color w:val="000000"/>
        </w:rPr>
        <w:t>Mcdonnell</w:t>
      </w:r>
      <w:proofErr w:type="spellEnd"/>
      <w:r>
        <w:rPr>
          <w:color w:val="000000"/>
        </w:rPr>
        <w:t>, 2020). According to the 2018 M+R Benchmarks Study, online revenue showed a 23% growth, with revenue from Facebook, Twitter, and Instagram up 13%, 15%, and 44% respectively – nonprofits who have an online presence can generate revenue. However, we do not know as much about the efficacy of specific messaging strategies as they relate to creating two-way</w:t>
      </w:r>
      <w:r>
        <w:rPr>
          <w:rFonts w:ascii="Gill Sans" w:eastAsia="Gill Sans" w:hAnsi="Gill Sans" w:cs="Gill Sans"/>
          <w:color w:val="000000"/>
          <w:sz w:val="33"/>
          <w:szCs w:val="33"/>
          <w:vertAlign w:val="superscript"/>
        </w:rPr>
        <w:t xml:space="preserve"> </w:t>
      </w:r>
      <w:r>
        <w:rPr>
          <w:color w:val="000000"/>
        </w:rPr>
        <w:t>interactions (</w:t>
      </w:r>
      <w:r>
        <w:rPr>
          <w:color w:val="212121"/>
        </w:rPr>
        <w:t>Mato-Santiso</w:t>
      </w:r>
      <w:r w:rsidR="00493BCD">
        <w:rPr>
          <w:color w:val="212121"/>
        </w:rPr>
        <w:t xml:space="preserve"> et al.</w:t>
      </w:r>
      <w:r>
        <w:rPr>
          <w:color w:val="212121"/>
        </w:rPr>
        <w:t xml:space="preserve">, 2021) </w:t>
      </w:r>
      <w:r>
        <w:rPr>
          <w:color w:val="000000"/>
        </w:rPr>
        <w:t xml:space="preserve">and increasing donations. </w:t>
      </w:r>
      <w:r>
        <w:rPr>
          <w:noProof/>
        </w:rPr>
        <mc:AlternateContent>
          <mc:Choice Requires="wpg">
            <w:drawing>
              <wp:anchor distT="0" distB="0" distL="114300" distR="114300" simplePos="0" relativeHeight="251658240" behindDoc="1" locked="0" layoutInCell="1" hidden="0" allowOverlap="1" wp14:anchorId="4FD9E792" wp14:editId="7595ABF2">
                <wp:simplePos x="0" y="0"/>
                <wp:positionH relativeFrom="column">
                  <wp:posOffset>1803400</wp:posOffset>
                </wp:positionH>
                <wp:positionV relativeFrom="paragraph">
                  <wp:posOffset>25400</wp:posOffset>
                </wp:positionV>
                <wp:extent cx="1706879" cy="184785"/>
                <wp:effectExtent l="0" t="0" r="0" b="0"/>
                <wp:wrapNone/>
                <wp:docPr id="2132378611" name="Freeform: Shape 2132378611"/>
                <wp:cNvGraphicFramePr/>
                <a:graphic xmlns:a="http://schemas.openxmlformats.org/drawingml/2006/main">
                  <a:graphicData uri="http://schemas.microsoft.com/office/word/2010/wordprocessingShape">
                    <wps:wsp>
                      <wps:cNvSpPr/>
                      <wps:spPr>
                        <a:xfrm>
                          <a:off x="5411724" y="3692370"/>
                          <a:ext cx="1697354" cy="175260"/>
                        </a:xfrm>
                        <a:custGeom>
                          <a:avLst/>
                          <a:gdLst/>
                          <a:ahLst/>
                          <a:cxnLst/>
                          <a:rect l="l" t="t" r="r" b="b"/>
                          <a:pathLst>
                            <a:path w="1697354" h="175260" extrusionOk="0">
                              <a:moveTo>
                                <a:pt x="1696795" y="0"/>
                              </a:moveTo>
                              <a:lnTo>
                                <a:pt x="1696795" y="0"/>
                              </a:lnTo>
                              <a:lnTo>
                                <a:pt x="0" y="0"/>
                              </a:lnTo>
                              <a:lnTo>
                                <a:pt x="0" y="175247"/>
                              </a:lnTo>
                              <a:lnTo>
                                <a:pt x="1696795" y="175247"/>
                              </a:lnTo>
                              <a:lnTo>
                                <a:pt x="169679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1" distB="0" distT="0" distL="114300" distR="114300" hidden="0" layoutInCell="1" locked="0" relativeHeight="0" simplePos="0">
                <wp:simplePos x="0" y="0"/>
                <wp:positionH relativeFrom="column">
                  <wp:posOffset>1803400</wp:posOffset>
                </wp:positionH>
                <wp:positionV relativeFrom="paragraph">
                  <wp:posOffset>25400</wp:posOffset>
                </wp:positionV>
                <wp:extent cx="1706879" cy="184785"/>
                <wp:effectExtent b="0" l="0" r="0" t="0"/>
                <wp:wrapNone/>
                <wp:docPr id="2132378611"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1706879" cy="184785"/>
                        </a:xfrm>
                        <a:prstGeom prst="rect"/>
                        <a:ln/>
                      </pic:spPr>
                    </pic:pic>
                  </a:graphicData>
                </a:graphic>
              </wp:anchor>
            </w:drawing>
          </mc:Fallback>
        </mc:AlternateContent>
      </w:r>
    </w:p>
    <w:p w14:paraId="00000011" w14:textId="0DB0E98A" w:rsidR="00165A52" w:rsidRDefault="00B02078" w:rsidP="009E6967">
      <w:pPr>
        <w:spacing w:line="480" w:lineRule="auto"/>
      </w:pPr>
      <w:r>
        <w:t>This interplay between social media use and online giving takes place in an increasingly competitive landscape. Nonprofits compete over limited resources in the grant process (Ashley &amp; Faulk, 2010), over fee-based services (</w:t>
      </w:r>
      <w:proofErr w:type="spellStart"/>
      <w:r>
        <w:t>Chetkovich</w:t>
      </w:r>
      <w:proofErr w:type="spellEnd"/>
      <w:r>
        <w:t xml:space="preserve"> &amp; </w:t>
      </w:r>
      <w:proofErr w:type="spellStart"/>
      <w:r>
        <w:t>Frumkin</w:t>
      </w:r>
      <w:proofErr w:type="spellEnd"/>
      <w:r>
        <w:t>, 2003), and even for clients (Ritchie &amp; Weinberg, 2000). Social media makes those competitive tendencies more visible as organizational actions, especially on platforms like Twitter or Facebook</w:t>
      </w:r>
      <w:r w:rsidR="00BB75D9">
        <w:t>,</w:t>
      </w:r>
      <w:r>
        <w:t xml:space="preserve"> are public. </w:t>
      </w:r>
    </w:p>
    <w:p w14:paraId="00000013" w14:textId="5B57D21F" w:rsidR="00165A52" w:rsidRPr="009E6967" w:rsidRDefault="00B02078" w:rsidP="009E6967">
      <w:pPr>
        <w:spacing w:line="480" w:lineRule="auto"/>
        <w:rPr>
          <w:rFonts w:ascii="Gill Sans" w:eastAsia="Gill Sans" w:hAnsi="Gill Sans" w:cs="Gill Sans"/>
        </w:rPr>
      </w:pPr>
      <w:r>
        <w:t xml:space="preserve">Thus, we aim to examine the efficacy of specific messaging strategies to address this question: </w:t>
      </w:r>
      <w:r>
        <w:rPr>
          <w:i/>
        </w:rPr>
        <w:t xml:space="preserve">What framing is more effective at generating donations </w:t>
      </w:r>
      <w:r w:rsidR="005E3218">
        <w:rPr>
          <w:i/>
        </w:rPr>
        <w:t>during direct</w:t>
      </w:r>
      <w:r>
        <w:rPr>
          <w:i/>
        </w:rPr>
        <w:t xml:space="preserve"> competition? </w:t>
      </w:r>
      <w:r>
        <w:t xml:space="preserve">We draw on the situational theory of publics, stakeholder theory, giving motivation, and gamification to examine this question. We </w:t>
      </w:r>
      <w:r w:rsidR="00853895">
        <w:t xml:space="preserve">answer </w:t>
      </w:r>
      <w:r>
        <w:t xml:space="preserve">this question by linking communication timelines and donation timelines based on data collected during a </w:t>
      </w:r>
      <w:r w:rsidR="00BB75D9">
        <w:t xml:space="preserve">fundraising </w:t>
      </w:r>
      <w:r>
        <w:t xml:space="preserve">competition in which nonprofits vied for donations. Specifically, we look at framing to see whether philanthropic framing </w:t>
      </w:r>
      <w:r>
        <w:lastRenderedPageBreak/>
        <w:t>(appeals to help advance mission), gamification framing (appeals to fan identity to “get off the bench/score points”), or crowdfunding framing (we are in this together, team spirit) are more effective at generating donations when nonprofits directly compete</w:t>
      </w:r>
      <w:r w:rsidR="00BB75D9">
        <w:t>.</w:t>
      </w:r>
      <w:r>
        <w:t xml:space="preserve"> We find that the message matters: altruistic messaging is positively related with donations; competitive messaging is negatively related with donations (even when nonprofits were participating in a fundraising competition). </w:t>
      </w:r>
    </w:p>
    <w:p w14:paraId="00000015" w14:textId="79577E37" w:rsidR="00165A52" w:rsidRPr="009E6967" w:rsidRDefault="00B02078" w:rsidP="009E6967">
      <w:pPr>
        <w:pStyle w:val="Heading1"/>
        <w:spacing w:line="480" w:lineRule="auto"/>
        <w:ind w:left="0" w:firstLine="0"/>
      </w:pPr>
      <w:r>
        <w:t>Theory</w:t>
      </w:r>
    </w:p>
    <w:p w14:paraId="3AC9701A" w14:textId="276093DD" w:rsidR="00D612F1" w:rsidRDefault="00D02378" w:rsidP="009E6967">
      <w:pPr>
        <w:pBdr>
          <w:top w:val="nil"/>
          <w:left w:val="nil"/>
          <w:bottom w:val="nil"/>
          <w:right w:val="nil"/>
          <w:between w:val="nil"/>
        </w:pBdr>
        <w:spacing w:line="480" w:lineRule="auto"/>
        <w:rPr>
          <w:color w:val="000000"/>
        </w:rPr>
      </w:pPr>
      <w:r>
        <w:rPr>
          <w:color w:val="000000"/>
        </w:rPr>
        <w:t>As Knutsen (2016) notes, no single definition of nonprofits or the nonprofit sector exists. For this study, w</w:t>
      </w:r>
      <w:r w:rsidR="00D121D6">
        <w:rPr>
          <w:color w:val="000000"/>
        </w:rPr>
        <w:t>e rely on a structural/operational definition that describes nonprofit organizations as non-coercive, non-distributive</w:t>
      </w:r>
      <w:r w:rsidR="0084507D">
        <w:rPr>
          <w:color w:val="000000"/>
        </w:rPr>
        <w:t>, voluntary, and self-governed</w:t>
      </w:r>
      <w:r w:rsidR="00D121D6">
        <w:rPr>
          <w:color w:val="000000"/>
        </w:rPr>
        <w:t xml:space="preserve"> (</w:t>
      </w:r>
      <w:proofErr w:type="spellStart"/>
      <w:r w:rsidR="00D121D6">
        <w:rPr>
          <w:color w:val="000000"/>
        </w:rPr>
        <w:t>Salamon</w:t>
      </w:r>
      <w:proofErr w:type="spellEnd"/>
      <w:r w:rsidR="00D121D6">
        <w:rPr>
          <w:color w:val="000000"/>
        </w:rPr>
        <w:t xml:space="preserve"> </w:t>
      </w:r>
      <w:r w:rsidR="00493BCD">
        <w:rPr>
          <w:color w:val="000000"/>
        </w:rPr>
        <w:t>&amp;</w:t>
      </w:r>
      <w:r w:rsidR="00D121D6">
        <w:rPr>
          <w:color w:val="000000"/>
        </w:rPr>
        <w:t xml:space="preserve"> </w:t>
      </w:r>
      <w:proofErr w:type="spellStart"/>
      <w:r w:rsidR="00D121D6">
        <w:rPr>
          <w:color w:val="000000"/>
        </w:rPr>
        <w:t>Anheier</w:t>
      </w:r>
      <w:proofErr w:type="spellEnd"/>
      <w:r w:rsidR="00D121D6">
        <w:rPr>
          <w:color w:val="000000"/>
        </w:rPr>
        <w:t xml:space="preserve">, 1997; </w:t>
      </w:r>
      <w:proofErr w:type="spellStart"/>
      <w:r w:rsidR="00D121D6">
        <w:rPr>
          <w:color w:val="000000"/>
        </w:rPr>
        <w:t>Frumkin</w:t>
      </w:r>
      <w:proofErr w:type="spellEnd"/>
      <w:r w:rsidR="00D121D6">
        <w:rPr>
          <w:color w:val="000000"/>
        </w:rPr>
        <w:t xml:space="preserve">, </w:t>
      </w:r>
      <w:r w:rsidR="008428A2">
        <w:rPr>
          <w:color w:val="000000"/>
        </w:rPr>
        <w:t>2005</w:t>
      </w:r>
      <w:r w:rsidR="00D121D6">
        <w:rPr>
          <w:color w:val="000000"/>
        </w:rPr>
        <w:t>)</w:t>
      </w:r>
      <w:r w:rsidR="0084507D">
        <w:rPr>
          <w:color w:val="000000"/>
        </w:rPr>
        <w:t>. These organizations are often formed to fill a void between the market and the state</w:t>
      </w:r>
      <w:r w:rsidR="0022421B">
        <w:rPr>
          <w:color w:val="000000"/>
        </w:rPr>
        <w:t xml:space="preserve"> (</w:t>
      </w:r>
      <w:proofErr w:type="spellStart"/>
      <w:r w:rsidR="0022421B">
        <w:rPr>
          <w:color w:val="000000"/>
        </w:rPr>
        <w:t>Weisbrod</w:t>
      </w:r>
      <w:proofErr w:type="spellEnd"/>
      <w:r w:rsidR="0022421B">
        <w:rPr>
          <w:color w:val="000000"/>
        </w:rPr>
        <w:t>, 1986)</w:t>
      </w:r>
      <w:r w:rsidR="00D24F84">
        <w:rPr>
          <w:color w:val="000000"/>
        </w:rPr>
        <w:t xml:space="preserve">, and </w:t>
      </w:r>
      <w:r w:rsidR="00FD06AF">
        <w:rPr>
          <w:color w:val="000000"/>
        </w:rPr>
        <w:t>represent mediating structures that help people navigate between public and private life (Berger &amp; Neuhaus, 1977)</w:t>
      </w:r>
      <w:r w:rsidR="0084507D">
        <w:rPr>
          <w:color w:val="000000"/>
        </w:rPr>
        <w:t>.</w:t>
      </w:r>
    </w:p>
    <w:p w14:paraId="00000016" w14:textId="198C891A" w:rsidR="00165A52" w:rsidRDefault="0084507D" w:rsidP="009E6967">
      <w:pPr>
        <w:pBdr>
          <w:top w:val="nil"/>
          <w:left w:val="nil"/>
          <w:bottom w:val="nil"/>
          <w:right w:val="nil"/>
          <w:between w:val="nil"/>
        </w:pBdr>
        <w:spacing w:line="480" w:lineRule="auto"/>
        <w:rPr>
          <w:color w:val="000000"/>
        </w:rPr>
      </w:pPr>
      <w:r>
        <w:rPr>
          <w:color w:val="000000"/>
        </w:rPr>
        <w:t xml:space="preserve">One hallmark of these organizations is their reliance on </w:t>
      </w:r>
      <w:r w:rsidR="002F3896">
        <w:rPr>
          <w:color w:val="000000"/>
        </w:rPr>
        <w:t>contributory philanthropy, also known as donations</w:t>
      </w:r>
      <w:r>
        <w:rPr>
          <w:color w:val="000000"/>
        </w:rPr>
        <w:t>.</w:t>
      </w:r>
      <w:r w:rsidR="004A7456">
        <w:rPr>
          <w:color w:val="000000"/>
        </w:rPr>
        <w:t xml:space="preserve"> Philanthropists use t</w:t>
      </w:r>
      <w:r>
        <w:rPr>
          <w:color w:val="000000"/>
        </w:rPr>
        <w:t>raditional contributory philanthropy</w:t>
      </w:r>
      <w:r w:rsidR="004A7456">
        <w:rPr>
          <w:color w:val="000000"/>
        </w:rPr>
        <w:t xml:space="preserve"> to work with, around, and sometimes in direct competition with government to meet public needs</w:t>
      </w:r>
      <w:r>
        <w:rPr>
          <w:color w:val="000000"/>
        </w:rPr>
        <w:t xml:space="preserve"> (Horvath </w:t>
      </w:r>
      <w:r w:rsidR="00493BCD">
        <w:rPr>
          <w:color w:val="000000"/>
        </w:rPr>
        <w:t xml:space="preserve">&amp; </w:t>
      </w:r>
      <w:r>
        <w:rPr>
          <w:color w:val="000000"/>
        </w:rPr>
        <w:t xml:space="preserve">Powell, 2019). </w:t>
      </w:r>
      <w:r w:rsidR="004A7456">
        <w:rPr>
          <w:color w:val="000000"/>
        </w:rPr>
        <w:t>They often channel their giving through nonprofit organizations</w:t>
      </w:r>
      <w:r>
        <w:rPr>
          <w:color w:val="000000"/>
        </w:rPr>
        <w:t xml:space="preserve">. These organizations have many stakeholders, essentially defined as “those groups and individuals who can affect you and whom you can affect” (Freeman, 1994, p. 411). These include but are not limited to service recipients, donors, community members, public officials, employees, and volunteers. These stakeholders have varied attitudes, responses, and behaviors based on their perceptions of </w:t>
      </w:r>
      <w:r w:rsidR="00FD06AF">
        <w:rPr>
          <w:color w:val="000000"/>
        </w:rPr>
        <w:t>a given organization</w:t>
      </w:r>
      <w:r>
        <w:rPr>
          <w:color w:val="000000"/>
        </w:rPr>
        <w:t xml:space="preserve">. </w:t>
      </w:r>
    </w:p>
    <w:p w14:paraId="00000018" w14:textId="06AFC2A8" w:rsidR="00165A52" w:rsidRPr="009E6967" w:rsidRDefault="004A7456" w:rsidP="009E6967">
      <w:pPr>
        <w:pBdr>
          <w:top w:val="nil"/>
          <w:left w:val="nil"/>
          <w:bottom w:val="nil"/>
          <w:right w:val="nil"/>
          <w:between w:val="nil"/>
        </w:pBdr>
        <w:spacing w:line="480" w:lineRule="auto"/>
        <w:rPr>
          <w:rFonts w:ascii="Gill Sans" w:eastAsia="Gill Sans" w:hAnsi="Gill Sans" w:cs="Gill Sans"/>
          <w:color w:val="000000"/>
          <w:sz w:val="40"/>
          <w:szCs w:val="40"/>
          <w:vertAlign w:val="superscript"/>
        </w:rPr>
      </w:pPr>
      <w:r>
        <w:rPr>
          <w:color w:val="000000"/>
        </w:rPr>
        <w:lastRenderedPageBreak/>
        <w:t xml:space="preserve">Nonprofit organizations that rely heavily on donations have to balance the varied </w:t>
      </w:r>
      <w:r w:rsidR="00B02078">
        <w:rPr>
          <w:color w:val="000000"/>
        </w:rPr>
        <w:t xml:space="preserve">preferences of stakeholders they deem salient based on power, legitimacy, and urgency (Mitchell et al., 1997). </w:t>
      </w:r>
      <w:proofErr w:type="spellStart"/>
      <w:r w:rsidR="00B02078">
        <w:rPr>
          <w:color w:val="000000"/>
        </w:rPr>
        <w:t>Grunig</w:t>
      </w:r>
      <w:proofErr w:type="spellEnd"/>
      <w:r w:rsidR="00B02078">
        <w:rPr>
          <w:color w:val="000000"/>
        </w:rPr>
        <w:t xml:space="preserve"> (1989, 1997) uses the concept of publics to demonstrate </w:t>
      </w:r>
      <w:r w:rsidR="00FD06AF">
        <w:rPr>
          <w:color w:val="000000"/>
        </w:rPr>
        <w:t xml:space="preserve">how people can have </w:t>
      </w:r>
      <w:r w:rsidR="00B02078">
        <w:rPr>
          <w:color w:val="000000"/>
        </w:rPr>
        <w:t xml:space="preserve">different levels of interest in and engagement with </w:t>
      </w:r>
      <w:r w:rsidR="00FD06AF">
        <w:rPr>
          <w:color w:val="000000"/>
        </w:rPr>
        <w:t>organizations</w:t>
      </w:r>
      <w:r w:rsidR="00B02078">
        <w:rPr>
          <w:color w:val="000000"/>
        </w:rPr>
        <w:t>:</w:t>
      </w:r>
      <w:r w:rsidR="00FD06AF">
        <w:rPr>
          <w:color w:val="000000"/>
        </w:rPr>
        <w:t xml:space="preserve"> latent</w:t>
      </w:r>
      <w:r w:rsidR="00B02078">
        <w:rPr>
          <w:color w:val="000000"/>
        </w:rPr>
        <w:t xml:space="preserve">, aware, and active. </w:t>
      </w:r>
      <w:r w:rsidR="00FB5BDB">
        <w:rPr>
          <w:color w:val="000000"/>
        </w:rPr>
        <w:t xml:space="preserve">Grunig developed this theory while observing the Sierra Club, noting that members of active publics were most likely to </w:t>
      </w:r>
      <w:r w:rsidR="00086628">
        <w:rPr>
          <w:color w:val="000000"/>
        </w:rPr>
        <w:t>join and participate in activist groups. We extend his theory to a fundraising context</w:t>
      </w:r>
      <w:r w:rsidR="000864A7">
        <w:rPr>
          <w:color w:val="000000"/>
        </w:rPr>
        <w:t xml:space="preserve"> and link it to existing literature about nonprofit social media use and online relationship building (e.g.</w:t>
      </w:r>
      <w:r w:rsidR="00853895">
        <w:rPr>
          <w:color w:val="000000"/>
        </w:rPr>
        <w:t>,</w:t>
      </w:r>
      <w:r w:rsidR="000864A7">
        <w:rPr>
          <w:color w:val="000000"/>
        </w:rPr>
        <w:t xml:space="preserve"> Lovejoy &amp; Saxton, 2012)</w:t>
      </w:r>
      <w:r w:rsidR="00086628">
        <w:rPr>
          <w:color w:val="000000"/>
        </w:rPr>
        <w:t xml:space="preserve">. </w:t>
      </w:r>
      <w:r w:rsidR="00B02078">
        <w:rPr>
          <w:color w:val="000000"/>
        </w:rPr>
        <w:t xml:space="preserve">When it comes to soliciting contributions from potential donors (i.e., move donors from latent or aware to active publics), we argue that organizations have to demonstrate salience of their own to the stakeholders in order to stand out from a crowded field and successfully acquire donations. </w:t>
      </w:r>
      <w:r w:rsidR="00B02078">
        <w:rPr>
          <w:rFonts w:ascii="Gill Sans" w:eastAsia="Gill Sans" w:hAnsi="Gill Sans" w:cs="Gill Sans"/>
          <w:color w:val="000000"/>
          <w:sz w:val="40"/>
          <w:szCs w:val="40"/>
          <w:vertAlign w:val="superscript"/>
        </w:rPr>
        <w:tab/>
      </w:r>
    </w:p>
    <w:p w14:paraId="00000019" w14:textId="77777777" w:rsidR="00165A52" w:rsidRDefault="00B02078" w:rsidP="009E6967">
      <w:pPr>
        <w:pStyle w:val="Heading2"/>
        <w:spacing w:line="480" w:lineRule="auto"/>
        <w:ind w:left="0" w:firstLine="0"/>
      </w:pPr>
      <w:r>
        <w:t>Offline v. Online Donations</w:t>
      </w:r>
    </w:p>
    <w:p w14:paraId="0000001A" w14:textId="591E0BF8" w:rsidR="00165A52" w:rsidRDefault="00B02078" w:rsidP="009E6967">
      <w:pPr>
        <w:pBdr>
          <w:top w:val="nil"/>
          <w:left w:val="nil"/>
          <w:bottom w:val="nil"/>
          <w:right w:val="nil"/>
          <w:between w:val="nil"/>
        </w:pBdr>
        <w:spacing w:line="480" w:lineRule="auto"/>
        <w:ind w:left="160" w:firstLine="560"/>
        <w:rPr>
          <w:rFonts w:ascii="Gill Sans" w:eastAsia="Gill Sans" w:hAnsi="Gill Sans" w:cs="Gill Sans"/>
          <w:color w:val="000000"/>
          <w:sz w:val="20"/>
          <w:szCs w:val="20"/>
        </w:rPr>
      </w:pPr>
      <w:r>
        <w:rPr>
          <w:color w:val="000000"/>
        </w:rPr>
        <w:t>In a typical offline, contributory donation setting, donors tend to care about some combination of quality, price, and fundraising (Weisbrod &amp; Dominguez, 1986). However, online donations are driven by different factors (Walk et al., 2022), including social network effects and quality of online communication (Saxton &amp; Wang, 2014). Nonprofit organizations can foster better online connections with their stakeholders through the strategic use of social networking sites (Hu &amp; Shi, 2017). Social media offers organizations outlets for “multi-dimensional information flows” (Bernhardt et al., 2012, p. 135), and a way to dialogue especially with multiple audiences, including community members (Briones et al., 2010).</w:t>
      </w:r>
      <w:r w:rsidR="007C2794">
        <w:rPr>
          <w:color w:val="000000"/>
        </w:rPr>
        <w:t xml:space="preserve"> </w:t>
      </w:r>
    </w:p>
    <w:p w14:paraId="0000001B" w14:textId="3F380CE6" w:rsidR="00165A52" w:rsidRDefault="00B02078" w:rsidP="009E6967">
      <w:pPr>
        <w:pBdr>
          <w:top w:val="nil"/>
          <w:left w:val="nil"/>
          <w:bottom w:val="nil"/>
          <w:right w:val="nil"/>
          <w:between w:val="nil"/>
        </w:pBdr>
        <w:spacing w:line="480" w:lineRule="auto"/>
        <w:ind w:left="160" w:firstLine="560"/>
        <w:rPr>
          <w:rFonts w:ascii="Gill Sans" w:eastAsia="Gill Sans" w:hAnsi="Gill Sans" w:cs="Gill Sans"/>
          <w:color w:val="000000"/>
          <w:sz w:val="20"/>
          <w:szCs w:val="20"/>
        </w:rPr>
      </w:pPr>
      <w:r>
        <w:rPr>
          <w:color w:val="000000"/>
        </w:rPr>
        <w:t>Lovejoy and Saxton (2012) identified three common information strategies nonprofits typically use online: information-sharing, relationship-building, and call to action. Information-sharing is a one-way dialogic, with the organization pushing out information</w:t>
      </w:r>
      <w:r w:rsidR="007C2794">
        <w:rPr>
          <w:color w:val="000000"/>
        </w:rPr>
        <w:t xml:space="preserve"> </w:t>
      </w:r>
      <w:r w:rsidR="000864A7">
        <w:rPr>
          <w:color w:val="000000"/>
        </w:rPr>
        <w:t xml:space="preserve">to what Grunig </w:t>
      </w:r>
      <w:r w:rsidR="000864A7">
        <w:rPr>
          <w:color w:val="000000"/>
        </w:rPr>
        <w:lastRenderedPageBreak/>
        <w:t xml:space="preserve">(1997) would consider a latent public </w:t>
      </w:r>
      <w:r>
        <w:rPr>
          <w:color w:val="000000"/>
        </w:rPr>
        <w:t>without expectation of response or feedback</w:t>
      </w:r>
      <w:r w:rsidR="00853895">
        <w:rPr>
          <w:color w:val="000000"/>
        </w:rPr>
        <w:t>.</w:t>
      </w:r>
      <w:r w:rsidR="000864A7">
        <w:rPr>
          <w:color w:val="000000"/>
        </w:rPr>
        <w:t xml:space="preserve"> They may hope to move the latent public to an aware pub</w:t>
      </w:r>
      <w:r w:rsidR="00D26092">
        <w:rPr>
          <w:color w:val="000000"/>
        </w:rPr>
        <w:t>l</w:t>
      </w:r>
      <w:r w:rsidR="000864A7">
        <w:rPr>
          <w:color w:val="000000"/>
        </w:rPr>
        <w:t>ic</w:t>
      </w:r>
      <w:r>
        <w:rPr>
          <w:color w:val="000000"/>
        </w:rPr>
        <w:t xml:space="preserve">. By contrast, the </w:t>
      </w:r>
      <w:r w:rsidR="000864A7">
        <w:rPr>
          <w:color w:val="000000"/>
        </w:rPr>
        <w:t>Love</w:t>
      </w:r>
      <w:r w:rsidR="00D26092">
        <w:rPr>
          <w:color w:val="000000"/>
        </w:rPr>
        <w:t>jo</w:t>
      </w:r>
      <w:r w:rsidR="000864A7">
        <w:rPr>
          <w:color w:val="000000"/>
        </w:rPr>
        <w:t>y and Saxton’s (201</w:t>
      </w:r>
      <w:r w:rsidR="00D26092">
        <w:rPr>
          <w:color w:val="000000"/>
        </w:rPr>
        <w:t>2</w:t>
      </w:r>
      <w:r w:rsidR="000864A7">
        <w:rPr>
          <w:color w:val="000000"/>
        </w:rPr>
        <w:t>) relationship building and calls to action strategies</w:t>
      </w:r>
      <w:r>
        <w:rPr>
          <w:color w:val="000000"/>
        </w:rPr>
        <w:t xml:space="preserve"> imply at least some level of interplay between information giver and receiver. They tend to generate more engagement (e.g., retweets and replies) than simple information-sharing (Guidry et al., 2014), and provide opportunities for supporters to perform tasks like attending events or participate in programs run by the organization (Campbell and Lambright, 2020)</w:t>
      </w:r>
      <w:r w:rsidR="00FD06AF">
        <w:rPr>
          <w:color w:val="000000"/>
        </w:rPr>
        <w:t>, thus</w:t>
      </w:r>
      <w:r w:rsidR="00F042C3">
        <w:rPr>
          <w:color w:val="000000"/>
        </w:rPr>
        <w:t xml:space="preserve"> moving publics from aware to active (Grunig, 1997)</w:t>
      </w:r>
      <w:r>
        <w:rPr>
          <w:color w:val="000000"/>
        </w:rPr>
        <w:t>.</w:t>
      </w:r>
      <w:r w:rsidR="007C2794">
        <w:rPr>
          <w:color w:val="000000"/>
        </w:rPr>
        <w:t xml:space="preserve"> </w:t>
      </w:r>
    </w:p>
    <w:p w14:paraId="40F7B5DB" w14:textId="77777777" w:rsidR="009E6967" w:rsidRDefault="00B02078" w:rsidP="009E6967">
      <w:pPr>
        <w:pBdr>
          <w:top w:val="nil"/>
          <w:left w:val="nil"/>
          <w:bottom w:val="nil"/>
          <w:right w:val="nil"/>
          <w:between w:val="nil"/>
        </w:pBdr>
        <w:spacing w:line="480" w:lineRule="auto"/>
        <w:ind w:left="160" w:firstLine="560"/>
        <w:rPr>
          <w:color w:val="000000"/>
        </w:rPr>
      </w:pPr>
      <w:r>
        <w:rPr>
          <w:color w:val="000000"/>
        </w:rPr>
        <w:t xml:space="preserve">Donation solicitation is one example of a two-way dialogic in the form of a call to action (Del Mar Gálvez-Rodríguez et al., 2016). Successful donation solicitation rests on </w:t>
      </w:r>
      <w:r w:rsidR="00086628">
        <w:rPr>
          <w:color w:val="000000"/>
        </w:rPr>
        <w:t>appealing to</w:t>
      </w:r>
      <w:r w:rsidR="004E062B">
        <w:rPr>
          <w:color w:val="000000"/>
        </w:rPr>
        <w:t xml:space="preserve"> donor giving motivations</w:t>
      </w:r>
      <w:r>
        <w:rPr>
          <w:color w:val="000000"/>
        </w:rPr>
        <w:t>. People generally donate out</w:t>
      </w:r>
      <w:r>
        <w:rPr>
          <w:rFonts w:ascii="Gill Sans" w:eastAsia="Gill Sans" w:hAnsi="Gill Sans" w:cs="Gill Sans"/>
          <w:color w:val="000000"/>
          <w:sz w:val="33"/>
          <w:szCs w:val="33"/>
          <w:vertAlign w:val="subscript"/>
        </w:rPr>
        <w:t xml:space="preserve"> </w:t>
      </w:r>
      <w:r>
        <w:rPr>
          <w:color w:val="000000"/>
        </w:rPr>
        <w:t xml:space="preserve">of a mix of pure (Warr, 1982) and impure altruism (Andreoni, 1990). They give to organizations they deem trustworthy as recipients of funding (Sargeant &amp; Lee, 2002). </w:t>
      </w:r>
      <w:r w:rsidR="00C21BB0">
        <w:rPr>
          <w:color w:val="000000"/>
        </w:rPr>
        <w:t xml:space="preserve">In addition to these long-established motivations, Fielding et al. (2022) identified competitive giving as a motivation, in which donors </w:t>
      </w:r>
      <w:r w:rsidR="00086628">
        <w:rPr>
          <w:color w:val="000000"/>
        </w:rPr>
        <w:t>make</w:t>
      </w:r>
      <w:r w:rsidR="00C21BB0">
        <w:rPr>
          <w:color w:val="000000"/>
        </w:rPr>
        <w:t xml:space="preserve"> their giving decisions based on the giving patterns and actions of others.</w:t>
      </w:r>
      <w:r w:rsidR="00124A9D">
        <w:rPr>
          <w:color w:val="000000"/>
        </w:rPr>
        <w:t xml:space="preserve"> </w:t>
      </w:r>
      <w:r>
        <w:rPr>
          <w:color w:val="000000"/>
        </w:rPr>
        <w:t xml:space="preserve">Successful solicitation </w:t>
      </w:r>
      <w:r>
        <w:rPr>
          <w:i/>
          <w:color w:val="000000"/>
        </w:rPr>
        <w:t xml:space="preserve">online </w:t>
      </w:r>
      <w:r>
        <w:rPr>
          <w:color w:val="000000"/>
        </w:rPr>
        <w:t>rests on creating dialogic loops, appealing to a donor’s empathy and perception of credibility as an organization (Liu et al., 2017)</w:t>
      </w:r>
      <w:r w:rsidR="00086628">
        <w:rPr>
          <w:color w:val="000000"/>
        </w:rPr>
        <w:t xml:space="preserve"> – and, possibly, their competitive drive - thus</w:t>
      </w:r>
      <w:r>
        <w:rPr>
          <w:color w:val="000000"/>
        </w:rPr>
        <w:t xml:space="preserve"> motivating them to, in turn, give back to the organization. By integrating these information strategies with Grunig’s publics, we can consider information-sharing to move latent publics to aware publics, relationship building as a means to move aware publics to active publics, and calls to action as a means to utilize active publics (e.g., for resource provision). As Figure 1 demonstrates, both relationship building and calls to action create dialogic loops. </w:t>
      </w:r>
    </w:p>
    <w:p w14:paraId="0000001D" w14:textId="213D1FBF" w:rsidR="00165A52" w:rsidRPr="009E6967" w:rsidRDefault="00B02078" w:rsidP="009E6967">
      <w:pPr>
        <w:pBdr>
          <w:top w:val="nil"/>
          <w:left w:val="nil"/>
          <w:bottom w:val="nil"/>
          <w:right w:val="nil"/>
          <w:between w:val="nil"/>
        </w:pBdr>
        <w:spacing w:line="480" w:lineRule="auto"/>
        <w:ind w:left="160" w:firstLine="560"/>
        <w:rPr>
          <w:rFonts w:ascii="Gill Sans" w:eastAsia="Gill Sans" w:hAnsi="Gill Sans" w:cs="Gill Sans"/>
          <w:color w:val="000000"/>
          <w:sz w:val="20"/>
          <w:szCs w:val="20"/>
        </w:rPr>
      </w:pPr>
      <w:r>
        <w:rPr>
          <w:rFonts w:ascii="Gill Sans" w:eastAsia="Gill Sans" w:hAnsi="Gill Sans" w:cs="Gill Sans"/>
          <w:color w:val="000000"/>
          <w:sz w:val="20"/>
          <w:szCs w:val="20"/>
        </w:rPr>
        <w:tab/>
      </w:r>
    </w:p>
    <w:p w14:paraId="0000001F" w14:textId="2BA468A6" w:rsidR="00165A52" w:rsidRDefault="00B02078" w:rsidP="009E6967">
      <w:pPr>
        <w:pBdr>
          <w:top w:val="nil"/>
          <w:left w:val="nil"/>
          <w:bottom w:val="nil"/>
          <w:right w:val="nil"/>
          <w:between w:val="nil"/>
        </w:pBdr>
        <w:spacing w:line="480" w:lineRule="auto"/>
        <w:ind w:firstLine="0"/>
        <w:jc w:val="center"/>
        <w:rPr>
          <w:color w:val="000000"/>
        </w:rPr>
      </w:pPr>
      <w:r>
        <w:rPr>
          <w:color w:val="000000"/>
        </w:rPr>
        <w:t>[Insert Figure 1 about here]</w:t>
      </w:r>
    </w:p>
    <w:p w14:paraId="3232FFB5" w14:textId="77777777" w:rsidR="009E6967" w:rsidRPr="009E6967" w:rsidRDefault="009E6967" w:rsidP="009E6967">
      <w:pPr>
        <w:pBdr>
          <w:top w:val="nil"/>
          <w:left w:val="nil"/>
          <w:bottom w:val="nil"/>
          <w:right w:val="nil"/>
          <w:between w:val="nil"/>
        </w:pBdr>
        <w:spacing w:line="480" w:lineRule="auto"/>
        <w:ind w:firstLine="0"/>
        <w:jc w:val="center"/>
        <w:rPr>
          <w:color w:val="000000"/>
        </w:rPr>
      </w:pPr>
    </w:p>
    <w:p w14:paraId="00000020" w14:textId="77777777" w:rsidR="00165A52" w:rsidRDefault="00B02078" w:rsidP="009E6967">
      <w:pPr>
        <w:pStyle w:val="Heading2"/>
        <w:spacing w:line="480" w:lineRule="auto"/>
        <w:ind w:left="0" w:firstLine="0"/>
      </w:pPr>
      <w:r>
        <w:t>Defining Competitive Philanthropy</w:t>
      </w:r>
    </w:p>
    <w:p w14:paraId="00000021" w14:textId="2D60C404" w:rsidR="00165A52" w:rsidRDefault="00B02078" w:rsidP="009E6967">
      <w:pPr>
        <w:pBdr>
          <w:top w:val="nil"/>
          <w:left w:val="nil"/>
          <w:bottom w:val="nil"/>
          <w:right w:val="nil"/>
          <w:between w:val="nil"/>
        </w:pBdr>
        <w:spacing w:line="480" w:lineRule="auto"/>
        <w:ind w:left="160" w:firstLine="560"/>
        <w:rPr>
          <w:rFonts w:ascii="Gill Sans" w:eastAsia="Gill Sans" w:hAnsi="Gill Sans" w:cs="Gill Sans"/>
          <w:color w:val="000000"/>
          <w:sz w:val="20"/>
          <w:szCs w:val="20"/>
        </w:rPr>
      </w:pPr>
      <w:r>
        <w:rPr>
          <w:color w:val="000000"/>
        </w:rPr>
        <w:t>Nonprofits vie for resources in an increasingly competitive environment (Joseph &amp; Lee, 2012). In addition, fundraising efforts have increasingly occurred in formats that pit individuals against each other on behalf of charities (e.g., the PGA Tour Charities’ Birdies for Charity), as well as competitions between nonprofits</w:t>
      </w:r>
      <w:r w:rsidR="004D0A05">
        <w:rPr>
          <w:color w:val="000000"/>
        </w:rPr>
        <w:t>,</w:t>
      </w:r>
      <w:r>
        <w:rPr>
          <w:color w:val="000000"/>
        </w:rPr>
        <w:t xml:space="preserve"> where raising the most money or getting more resources is the goal. These types of competitions often occur online, when the organization with the most likes, votes, or other engagement with social media posts are deemed ‘winners’ and receive a</w:t>
      </w:r>
      <w:r w:rsidR="007C2794">
        <w:rPr>
          <w:color w:val="000000"/>
        </w:rPr>
        <w:t xml:space="preserve"> </w:t>
      </w:r>
      <w:r>
        <w:rPr>
          <w:color w:val="000000"/>
        </w:rPr>
        <w:t>prize. For example, on 2019’s Giving Tuesday, the Philadelphia Federal Credit Union initiated a giving campaign to allocate $5000 among three local nonprofits based on crowd voting.</w:t>
      </w:r>
      <w:r w:rsidR="007C2794">
        <w:rPr>
          <w:color w:val="000000"/>
        </w:rPr>
        <w:t xml:space="preserve"> </w:t>
      </w:r>
    </w:p>
    <w:p w14:paraId="00000022" w14:textId="0EB4DCAB" w:rsidR="00165A52" w:rsidRDefault="00B02078" w:rsidP="009E6967">
      <w:pPr>
        <w:pBdr>
          <w:top w:val="nil"/>
          <w:left w:val="nil"/>
          <w:bottom w:val="nil"/>
          <w:right w:val="nil"/>
          <w:between w:val="nil"/>
        </w:pBdr>
        <w:spacing w:line="480" w:lineRule="auto"/>
        <w:ind w:left="160" w:firstLine="560"/>
        <w:rPr>
          <w:color w:val="000000"/>
        </w:rPr>
      </w:pPr>
      <w:r>
        <w:rPr>
          <w:color w:val="000000"/>
        </w:rPr>
        <w:t xml:space="preserve">What happens when organizations engage in competitive philanthropy? We define competitive philanthropy as monetary gifts made by individuals to nonprofit organizations or private foundations where </w:t>
      </w:r>
      <w:r>
        <w:rPr>
          <w:b/>
          <w:color w:val="000000"/>
        </w:rPr>
        <w:t xml:space="preserve">the giving experience is enhanced through game- like/gamified aspects </w:t>
      </w:r>
      <w:r>
        <w:rPr>
          <w:color w:val="000000"/>
        </w:rPr>
        <w:t xml:space="preserve">and where the nonprofit organizations or private foundations raise funds while being </w:t>
      </w:r>
      <w:r>
        <w:rPr>
          <w:b/>
          <w:color w:val="000000"/>
        </w:rPr>
        <w:t xml:space="preserve">benchmarked against each other. </w:t>
      </w:r>
      <w:r>
        <w:rPr>
          <w:color w:val="000000"/>
        </w:rPr>
        <w:t>Thus, competitive philanthropy combines elements of traditional contributory philanthropy with elements of both crowdfunding and gamification</w:t>
      </w:r>
      <w:r w:rsidR="00FD06AF">
        <w:rPr>
          <w:color w:val="000000"/>
        </w:rPr>
        <w:t>.</w:t>
      </w:r>
    </w:p>
    <w:p w14:paraId="00000024" w14:textId="614B0F96" w:rsidR="00165A52" w:rsidRDefault="00B02078" w:rsidP="009E6967">
      <w:pPr>
        <w:pBdr>
          <w:top w:val="nil"/>
          <w:left w:val="nil"/>
          <w:bottom w:val="nil"/>
          <w:right w:val="nil"/>
          <w:between w:val="nil"/>
        </w:pBdr>
        <w:spacing w:line="480" w:lineRule="auto"/>
        <w:ind w:left="160" w:firstLine="560"/>
        <w:rPr>
          <w:color w:val="000000"/>
        </w:rPr>
      </w:pPr>
      <w:proofErr w:type="spellStart"/>
      <w:r>
        <w:rPr>
          <w:color w:val="000000"/>
        </w:rPr>
        <w:t>Belleflamme</w:t>
      </w:r>
      <w:proofErr w:type="spellEnd"/>
      <w:r w:rsidR="00086628">
        <w:rPr>
          <w:color w:val="000000"/>
        </w:rPr>
        <w:t xml:space="preserve"> et al.</w:t>
      </w:r>
      <w:r>
        <w:rPr>
          <w:color w:val="000000"/>
        </w:rPr>
        <w:t xml:space="preserve"> (2014, p. 558) define</w:t>
      </w:r>
      <w:r w:rsidR="000B11FD">
        <w:rPr>
          <w:color w:val="000000"/>
        </w:rPr>
        <w:t xml:space="preserve"> </w:t>
      </w:r>
      <w:r>
        <w:rPr>
          <w:color w:val="000000"/>
        </w:rPr>
        <w:t>crowdfunding as "an open call, mostly through the Internet, for the provision of financial</w:t>
      </w:r>
      <w:r w:rsidR="000B11FD">
        <w:rPr>
          <w:color w:val="000000"/>
        </w:rPr>
        <w:t xml:space="preserve"> </w:t>
      </w:r>
      <w:r>
        <w:rPr>
          <w:color w:val="000000"/>
        </w:rPr>
        <w:t>resources either in the form of donation or in exchange for the future product or some form of</w:t>
      </w:r>
      <w:r w:rsidR="000B11FD">
        <w:rPr>
          <w:color w:val="000000"/>
        </w:rPr>
        <w:t xml:space="preserve"> </w:t>
      </w:r>
      <w:r>
        <w:rPr>
          <w:color w:val="000000"/>
        </w:rPr>
        <w:t>reward to support initiatives for specific purposes.” DonorsChose.org is an example of crowdfunded philanthropy where teachers list their needs and donors get to p</w:t>
      </w:r>
      <w:r w:rsidR="00086628">
        <w:rPr>
          <w:color w:val="000000"/>
        </w:rPr>
        <w:t>i</w:t>
      </w:r>
      <w:r>
        <w:rPr>
          <w:color w:val="000000"/>
        </w:rPr>
        <w:t xml:space="preserve">ck </w:t>
      </w:r>
      <w:r w:rsidR="00086628">
        <w:rPr>
          <w:color w:val="000000"/>
        </w:rPr>
        <w:t xml:space="preserve">the </w:t>
      </w:r>
      <w:r>
        <w:rPr>
          <w:color w:val="000000"/>
        </w:rPr>
        <w:t>campaigns they fund. Gamification is the application of game-like design principles to both</w:t>
      </w:r>
      <w:r w:rsidR="000B11FD">
        <w:rPr>
          <w:color w:val="000000"/>
        </w:rPr>
        <w:t xml:space="preserve"> </w:t>
      </w:r>
      <w:r>
        <w:rPr>
          <w:color w:val="000000"/>
        </w:rPr>
        <w:t>game and non-game contexts (Huotari &amp; Hamari, 2017).</w:t>
      </w:r>
      <w:r w:rsidR="000B11FD">
        <w:rPr>
          <w:color w:val="000000"/>
        </w:rPr>
        <w:t xml:space="preserve"> </w:t>
      </w:r>
      <w:r>
        <w:rPr>
          <w:color w:val="000000"/>
        </w:rPr>
        <w:lastRenderedPageBreak/>
        <w:t>Gamified giving is “the use of game design elements” (Deterding et al., 2011, p. 9) in</w:t>
      </w:r>
      <w:r w:rsidR="000B11FD">
        <w:rPr>
          <w:color w:val="000000"/>
        </w:rPr>
        <w:t xml:space="preserve"> </w:t>
      </w:r>
      <w:r>
        <w:rPr>
          <w:color w:val="000000"/>
        </w:rPr>
        <w:t>giving to nonprofit organizations or private foundations and has been studied through the lens of</w:t>
      </w:r>
      <w:r w:rsidR="000B11FD">
        <w:rPr>
          <w:color w:val="000000"/>
        </w:rPr>
        <w:t xml:space="preserve"> </w:t>
      </w:r>
      <w:r>
        <w:rPr>
          <w:color w:val="000000"/>
        </w:rPr>
        <w:t>learning about and solving social problems (Nguyen et al., 2012).</w:t>
      </w:r>
      <w:r w:rsidR="00F042C3">
        <w:rPr>
          <w:color w:val="000000"/>
        </w:rPr>
        <w:t xml:space="preserve"> Examples include Omaha Gives! is an example of a one-day tournament that incentivizes giving with donor matches and timed mini-fundraising goals. The goals and time limits gamify the act of giving but do not pit organizations against each other.</w:t>
      </w:r>
      <w:r>
        <w:rPr>
          <w:color w:val="000000"/>
        </w:rPr>
        <w:t xml:space="preserve"> Gamified or competitive philanthropy may be considered market-driven and</w:t>
      </w:r>
      <w:r w:rsidR="000B11FD">
        <w:rPr>
          <w:color w:val="000000"/>
        </w:rPr>
        <w:t xml:space="preserve"> </w:t>
      </w:r>
      <w:r>
        <w:rPr>
          <w:color w:val="000000"/>
        </w:rPr>
        <w:t>individualistic. However, according to Yu (2017, p. 46), this type of philanthropy “...also has the</w:t>
      </w:r>
      <w:r w:rsidR="000B11FD">
        <w:rPr>
          <w:color w:val="000000"/>
        </w:rPr>
        <w:t xml:space="preserve"> </w:t>
      </w:r>
      <w:r>
        <w:rPr>
          <w:color w:val="000000"/>
        </w:rPr>
        <w:t>potential to transcend the dichotomies of altruism versus self-interest or state versus society” (Hu</w:t>
      </w:r>
      <w:r w:rsidR="000B11FD">
        <w:rPr>
          <w:color w:val="000000"/>
        </w:rPr>
        <w:t xml:space="preserve"> </w:t>
      </w:r>
      <w:r>
        <w:rPr>
          <w:color w:val="000000"/>
        </w:rPr>
        <w:t xml:space="preserve">&amp; Shi, 2017). </w:t>
      </w:r>
      <w:r w:rsidR="00F627E5">
        <w:rPr>
          <w:color w:val="000000"/>
        </w:rPr>
        <w:t>Figure 2 demonstrates the relationships between contributory philanthropy, crowdfunding, and gamification.</w:t>
      </w:r>
    </w:p>
    <w:p w14:paraId="2A9A40B8" w14:textId="77777777" w:rsidR="009E6967" w:rsidRPr="009E6967" w:rsidRDefault="009E6967" w:rsidP="009E6967">
      <w:pPr>
        <w:pBdr>
          <w:top w:val="nil"/>
          <w:left w:val="nil"/>
          <w:bottom w:val="nil"/>
          <w:right w:val="nil"/>
          <w:between w:val="nil"/>
        </w:pBdr>
        <w:spacing w:line="480" w:lineRule="auto"/>
        <w:ind w:left="160" w:firstLine="560"/>
        <w:rPr>
          <w:rFonts w:ascii="Gill Sans" w:eastAsia="Gill Sans" w:hAnsi="Gill Sans" w:cs="Gill Sans"/>
          <w:color w:val="000000"/>
          <w:sz w:val="33"/>
          <w:szCs w:val="33"/>
          <w:vertAlign w:val="superscript"/>
        </w:rPr>
      </w:pPr>
    </w:p>
    <w:p w14:paraId="00000026" w14:textId="18E58426" w:rsidR="00165A52" w:rsidRDefault="00B02078" w:rsidP="009E6967">
      <w:pPr>
        <w:pBdr>
          <w:top w:val="nil"/>
          <w:left w:val="nil"/>
          <w:bottom w:val="nil"/>
          <w:right w:val="nil"/>
          <w:between w:val="nil"/>
        </w:pBdr>
        <w:spacing w:line="480" w:lineRule="auto"/>
        <w:ind w:firstLine="0"/>
        <w:jc w:val="center"/>
        <w:rPr>
          <w:color w:val="000000"/>
        </w:rPr>
      </w:pPr>
      <w:r>
        <w:rPr>
          <w:color w:val="000000"/>
        </w:rPr>
        <w:t>[Insert Figure 2 about here]</w:t>
      </w:r>
    </w:p>
    <w:p w14:paraId="0D62C570" w14:textId="77777777" w:rsidR="009E6967" w:rsidRPr="009E6967" w:rsidRDefault="009E6967" w:rsidP="009E6967">
      <w:pPr>
        <w:pBdr>
          <w:top w:val="nil"/>
          <w:left w:val="nil"/>
          <w:bottom w:val="nil"/>
          <w:right w:val="nil"/>
          <w:between w:val="nil"/>
        </w:pBdr>
        <w:spacing w:line="480" w:lineRule="auto"/>
        <w:ind w:firstLine="0"/>
        <w:jc w:val="center"/>
        <w:rPr>
          <w:color w:val="000000"/>
        </w:rPr>
      </w:pPr>
    </w:p>
    <w:p w14:paraId="00000027" w14:textId="6286EC28" w:rsidR="00165A52" w:rsidRDefault="00B02078" w:rsidP="009E6967">
      <w:pPr>
        <w:pStyle w:val="Heading2"/>
        <w:spacing w:line="480" w:lineRule="auto"/>
        <w:ind w:left="0" w:firstLine="0"/>
      </w:pPr>
      <w:r>
        <w:t>Using Framing to Generate Calls to Action</w:t>
      </w:r>
    </w:p>
    <w:p w14:paraId="54A68192" w14:textId="3744D64C" w:rsidR="00A82462" w:rsidRDefault="004D0A05" w:rsidP="009E6967">
      <w:pPr>
        <w:spacing w:line="480" w:lineRule="auto"/>
      </w:pPr>
      <w:r>
        <w:t>Individuals</w:t>
      </w:r>
      <w:r w:rsidR="00FC2109">
        <w:t xml:space="preserve"> use a two-step process to make decisions: 1) a preliminary analysis in which they frame the problem, choice and outcomes and 2) an evaluation of the previously-framed options in order to settle on a choice (Kahneman &amp; Tversky</w:t>
      </w:r>
      <w:r w:rsidR="00A82462">
        <w:t>, 1979).</w:t>
      </w:r>
      <w:r w:rsidR="00FC2109">
        <w:t xml:space="preserve"> </w:t>
      </w:r>
      <w:r w:rsidR="00B02078">
        <w:t xml:space="preserve">Framing theory rests on the idea that one issue or concept can be perceived in different ways, and the way in which one views said issue affects one’s consideration of the issue (Chong </w:t>
      </w:r>
      <w:r w:rsidR="00F042C3">
        <w:t>&amp;</w:t>
      </w:r>
      <w:r w:rsidR="00B02078">
        <w:t xml:space="preserve"> Druckman, 2007). </w:t>
      </w:r>
      <w:r w:rsidR="00D26092">
        <w:t xml:space="preserve">Framing is the choice of presentation of a given issue and be used to change or reorient someone’s thinking by “activating information already at the recipients' disposal, stored in long- term memory” (Nelson et al., 1997, p.225). </w:t>
      </w:r>
      <w:r w:rsidR="00B02078">
        <w:t xml:space="preserve">For example, donors often have a pre-conceived (negative) notion of overhead but react more positively when overhead is framed as organizational capacity (Qu </w:t>
      </w:r>
      <w:r w:rsidR="00F042C3">
        <w:t>&amp;</w:t>
      </w:r>
      <w:r w:rsidR="00B02078">
        <w:t xml:space="preserve"> </w:t>
      </w:r>
      <w:r w:rsidR="00B02078">
        <w:lastRenderedPageBreak/>
        <w:t>Levine Daniel, 2021).</w:t>
      </w:r>
      <w:r w:rsidR="00A9246F">
        <w:t xml:space="preserve"> </w:t>
      </w:r>
      <w:r w:rsidR="00A82462">
        <w:t xml:space="preserve">Nonprofits use many different frames when sending out donation appeals – some focus on impact, others use narratives from beneficiaries, and some highlight the benefits donors will personally realize through the effect of donating. A </w:t>
      </w:r>
      <w:r w:rsidR="00F627E5">
        <w:t xml:space="preserve">competitive </w:t>
      </w:r>
      <w:r w:rsidR="00A82462">
        <w:t xml:space="preserve">fundraiser that combines elements of contributory philanthropy, crowdfunding, and gamification offers nonprofits the opportunity to use additional, competition-relevant framing </w:t>
      </w:r>
      <w:r w:rsidR="00D26092">
        <w:t xml:space="preserve">along with their traditional mission-based framing to </w:t>
      </w:r>
      <w:r w:rsidR="00F627E5">
        <w:t>yield active publics, as represented by donations</w:t>
      </w:r>
      <w:r w:rsidR="00D26092">
        <w:t>.</w:t>
      </w:r>
    </w:p>
    <w:p w14:paraId="00000028" w14:textId="034425D4" w:rsidR="00165A52" w:rsidRDefault="00B02078" w:rsidP="009E6967">
      <w:pPr>
        <w:spacing w:line="480" w:lineRule="auto"/>
        <w:rPr>
          <w:rFonts w:ascii="Gill Sans" w:eastAsia="Gill Sans" w:hAnsi="Gill Sans" w:cs="Gill Sans"/>
          <w:sz w:val="36"/>
          <w:szCs w:val="36"/>
          <w:vertAlign w:val="superscript"/>
        </w:rPr>
      </w:pPr>
      <w:r>
        <w:t>At its core, competitive philanthropy is still philanthropy. Therefore, we expect messages</w:t>
      </w:r>
      <w:r>
        <w:rPr>
          <w:rFonts w:ascii="Gill Sans" w:eastAsia="Gill Sans" w:hAnsi="Gill Sans" w:cs="Gill Sans"/>
          <w:sz w:val="36"/>
          <w:szCs w:val="36"/>
          <w:vertAlign w:val="superscript"/>
        </w:rPr>
        <w:t xml:space="preserve"> </w:t>
      </w:r>
      <w:r>
        <w:t>that focus on the organization’s mission</w:t>
      </w:r>
      <w:r w:rsidR="00A82462">
        <w:t xml:space="preserve"> and </w:t>
      </w:r>
      <w:r>
        <w:t>the act of doing good</w:t>
      </w:r>
      <w:r w:rsidR="00F627E5">
        <w:t xml:space="preserve"> </w:t>
      </w:r>
      <w:r>
        <w:t>to resonate with potential donors, motivating them as</w:t>
      </w:r>
      <w:r w:rsidR="00BB75D9">
        <w:t xml:space="preserve"> </w:t>
      </w:r>
      <w:r>
        <w:t xml:space="preserve">active publics to </w:t>
      </w:r>
      <w:r w:rsidR="00086628">
        <w:t>donate</w:t>
      </w:r>
      <w:r>
        <w:t xml:space="preserve"> to the organization outside of a social media platform.</w:t>
      </w:r>
      <w:r w:rsidR="007C2794">
        <w:t xml:space="preserve"> </w:t>
      </w:r>
    </w:p>
    <w:p w14:paraId="48E86C1F" w14:textId="57E837D7" w:rsidR="004D0A05" w:rsidRPr="002921AE" w:rsidRDefault="00B02078" w:rsidP="009E6967">
      <w:pPr>
        <w:spacing w:line="480" w:lineRule="auto"/>
        <w:rPr>
          <w:rFonts w:ascii="Gill Sans" w:eastAsia="Gill Sans" w:hAnsi="Gill Sans" w:cs="Gill Sans"/>
          <w:i/>
        </w:rPr>
      </w:pPr>
      <w:r>
        <w:rPr>
          <w:i/>
        </w:rPr>
        <w:t xml:space="preserve">H1: Philanthropic framing will be positively associated with active publics. </w:t>
      </w:r>
    </w:p>
    <w:p w14:paraId="0000002A" w14:textId="1CFFB913" w:rsidR="00165A52" w:rsidRDefault="004D0A05" w:rsidP="009E6967">
      <w:pPr>
        <w:spacing w:line="480" w:lineRule="auto"/>
        <w:rPr>
          <w:rFonts w:ascii="Gill Sans" w:eastAsia="Gill Sans" w:hAnsi="Gill Sans" w:cs="Gill Sans"/>
          <w:sz w:val="33"/>
          <w:szCs w:val="33"/>
          <w:vertAlign w:val="superscript"/>
        </w:rPr>
      </w:pPr>
      <w:r>
        <w:t>Individuals</w:t>
      </w:r>
      <w:r w:rsidR="00B02078">
        <w:t xml:space="preserve"> who back campaigns on crowdfunding platforms tend to do so </w:t>
      </w:r>
      <w:r w:rsidR="00086628">
        <w:t>to</w:t>
      </w:r>
      <w:r w:rsidR="00B02078">
        <w:t xml:space="preserve"> help others, support causes, and be part of a community (Gerber &amp; Hui, 2013). Using a collective crowdfunding frame to appeal to donors is reflective of traditional contributory philanthropy’s history of philanthropists entreating their networks to give. Saxton and Wang (2014) use the language of “fans” and note the importance of org</w:t>
      </w:r>
      <w:r w:rsidR="004E062B">
        <w:t>anizational</w:t>
      </w:r>
      <w:r w:rsidR="00B02078">
        <w:t xml:space="preserve"> fans expanding exposure within their own social networks, netting increased charitable contributions. Philanthropy and crowdfunding share some characteristics, including a wide range of funder motivations and behaviors. In addition, nonprofits have had some success using crowdfunding campaigns, especially in specific, one-off designs (Alexiou, Wiggins, </w:t>
      </w:r>
      <w:r>
        <w:t>&amp;</w:t>
      </w:r>
      <w:r w:rsidR="00B02078">
        <w:t xml:space="preserve"> Preece, 2020). Therefore, we expect messages referencing crowdfunding will serve as calls to action that will generate donor engagement. </w:t>
      </w:r>
    </w:p>
    <w:p w14:paraId="61249456" w14:textId="10BFE804" w:rsidR="004D0A05" w:rsidRPr="002921AE" w:rsidRDefault="00B02078" w:rsidP="009E6967">
      <w:pPr>
        <w:pBdr>
          <w:top w:val="nil"/>
          <w:left w:val="nil"/>
          <w:bottom w:val="nil"/>
          <w:right w:val="nil"/>
          <w:between w:val="nil"/>
        </w:pBdr>
        <w:spacing w:line="480" w:lineRule="auto"/>
        <w:ind w:left="160" w:firstLine="560"/>
        <w:rPr>
          <w:rFonts w:ascii="Gill Sans" w:eastAsia="Gill Sans" w:hAnsi="Gill Sans" w:cs="Gill Sans"/>
          <w:i/>
          <w:color w:val="000000"/>
          <w:sz w:val="33"/>
          <w:szCs w:val="33"/>
          <w:vertAlign w:val="superscript"/>
        </w:rPr>
      </w:pPr>
      <w:r>
        <w:rPr>
          <w:i/>
          <w:color w:val="000000"/>
        </w:rPr>
        <w:t xml:space="preserve">H2: Crowdfunding framing will be positively associated with active publics. </w:t>
      </w:r>
    </w:p>
    <w:p w14:paraId="0000002C" w14:textId="44FEE5F4" w:rsidR="00165A52" w:rsidRDefault="00B02078" w:rsidP="009E6967">
      <w:pPr>
        <w:spacing w:line="480" w:lineRule="auto"/>
        <w:rPr>
          <w:rFonts w:ascii="Gill Sans" w:eastAsia="Gill Sans" w:hAnsi="Gill Sans" w:cs="Gill Sans"/>
        </w:rPr>
      </w:pPr>
      <w:r>
        <w:lastRenderedPageBreak/>
        <w:t xml:space="preserve">Competitive philanthropy reframes the philanthropic </w:t>
      </w:r>
      <w:r w:rsidR="000B11FD">
        <w:t>giving through a lens</w:t>
      </w:r>
      <w:r>
        <w:t xml:space="preserve"> </w:t>
      </w:r>
      <w:r w:rsidR="004D0A05">
        <w:t xml:space="preserve">of </w:t>
      </w:r>
      <w:r>
        <w:t xml:space="preserve">competition. The competitive </w:t>
      </w:r>
      <w:r w:rsidR="00A82462">
        <w:t xml:space="preserve">giving </w:t>
      </w:r>
      <w:r>
        <w:t xml:space="preserve">hypothesis argues that public competition can trigger giving because individuals have the urge to win in situations where their reputation is publicly displayed, and altruistic behavior improves the status and reputation of the giver (Hardy &amp; </w:t>
      </w:r>
      <w:proofErr w:type="spellStart"/>
      <w:r>
        <w:t>Vugt</w:t>
      </w:r>
      <w:proofErr w:type="spellEnd"/>
      <w:r>
        <w:t xml:space="preserve">, 2006). In addition, Solomon, Ma and Wash (2015) emphasize the importance of early donations, Xiao et. al (2022) find an indirect effect of loss-framed messaging highlighting the negative consequences for not donating on willingness to donate, and Cao (2016) demonstrates a direct link between loss-framing and donor giving intentions. Gamifying philanthropy in the form of direct competition can inform problem recognition (here is a situation you can do something about: help us move forward) and lower constraints (help us </w:t>
      </w:r>
      <w:r>
        <w:rPr>
          <w:i/>
        </w:rPr>
        <w:t>by donating</w:t>
      </w:r>
      <w:r>
        <w:t xml:space="preserve">), two of the factors that determine a stakeholder’s position as a latent, active, or aware public (Grunig, 1989). Given </w:t>
      </w:r>
      <w:r w:rsidR="000B11FD">
        <w:t xml:space="preserve">this </w:t>
      </w:r>
      <w:r>
        <w:t xml:space="preserve">competitive </w:t>
      </w:r>
      <w:r w:rsidR="000B11FD">
        <w:t xml:space="preserve">element </w:t>
      </w:r>
      <w:r>
        <w:t xml:space="preserve">(have to outperform head-to-head, impact of early donations), we expect gamification framing will serve as calls to action that will generate engagement. </w:t>
      </w:r>
    </w:p>
    <w:p w14:paraId="0000002E" w14:textId="6988977F" w:rsidR="00165A52" w:rsidRPr="009E6967" w:rsidRDefault="00B02078" w:rsidP="009E6967">
      <w:pPr>
        <w:spacing w:line="480" w:lineRule="auto"/>
        <w:rPr>
          <w:rFonts w:ascii="Gill Sans" w:eastAsia="Gill Sans" w:hAnsi="Gill Sans" w:cs="Gill Sans"/>
          <w:i/>
        </w:rPr>
      </w:pPr>
      <w:r>
        <w:rPr>
          <w:i/>
        </w:rPr>
        <w:t xml:space="preserve">H3: Gamification framing will be positively associated with active publics. </w:t>
      </w:r>
      <w:r>
        <w:rPr>
          <w:rFonts w:ascii="Gill Sans" w:eastAsia="Gill Sans" w:hAnsi="Gill Sans" w:cs="Gill Sans"/>
          <w:i/>
        </w:rPr>
        <w:tab/>
      </w:r>
    </w:p>
    <w:p w14:paraId="0000002F" w14:textId="77777777" w:rsidR="00165A52" w:rsidRDefault="00B02078" w:rsidP="009E6967">
      <w:pPr>
        <w:pStyle w:val="Heading1"/>
        <w:spacing w:line="480" w:lineRule="auto"/>
        <w:ind w:left="0" w:firstLine="0"/>
      </w:pPr>
      <w:r>
        <w:t>Methods</w:t>
      </w:r>
    </w:p>
    <w:p w14:paraId="00000030" w14:textId="03330A64" w:rsidR="00165A52" w:rsidRDefault="00B02078" w:rsidP="009E6967">
      <w:pPr>
        <w:spacing w:line="480" w:lineRule="auto"/>
      </w:pPr>
      <w:r>
        <w:t>We draw on data from a competitive, online fundraising tournament run by Brackets for</w:t>
      </w:r>
      <w:r w:rsidR="007C2794">
        <w:t xml:space="preserve"> </w:t>
      </w:r>
      <w:r>
        <w:t xml:space="preserve">Good (BFG), a Midwest-based 501(c)3 nonprofit organization </w:t>
      </w:r>
      <w:r w:rsidR="004E062B">
        <w:t>that focu</w:t>
      </w:r>
      <w:r w:rsidR="00F627E5">
        <w:t>s</w:t>
      </w:r>
      <w:r w:rsidR="004E062B">
        <w:t xml:space="preserve">ed </w:t>
      </w:r>
      <w:r>
        <w:t>on activating new</w:t>
      </w:r>
      <w:r w:rsidR="007C2794">
        <w:t xml:space="preserve"> </w:t>
      </w:r>
      <w:r>
        <w:t xml:space="preserve">donors and increasing awareness for other nonprofits. </w:t>
      </w:r>
      <w:r w:rsidR="004E062B">
        <w:t xml:space="preserve">From </w:t>
      </w:r>
      <w:r w:rsidR="00F627E5">
        <w:t xml:space="preserve">2012-2020 </w:t>
      </w:r>
      <w:r>
        <w:t xml:space="preserve">BFG </w:t>
      </w:r>
      <w:r w:rsidR="004E062B">
        <w:t>ran</w:t>
      </w:r>
      <w:r>
        <w:t xml:space="preserve"> fundraising</w:t>
      </w:r>
      <w:r w:rsidR="007C2794">
        <w:t xml:space="preserve"> </w:t>
      </w:r>
      <w:r>
        <w:t xml:space="preserve">tournaments that put nonprofits in direct competition with each other. The tournament </w:t>
      </w:r>
      <w:r w:rsidR="00F627E5">
        <w:t>was</w:t>
      </w:r>
      <w:r>
        <w:t xml:space="preserve"> set up</w:t>
      </w:r>
      <w:r w:rsidR="007C2794">
        <w:t xml:space="preserve"> </w:t>
      </w:r>
      <w:r w:rsidR="002921AE">
        <w:t xml:space="preserve">as a bracket, similar to the National Collegiate Athletic Association’s March Madness basketball tournament or the International Federation of Association’s World Cup. </w:t>
      </w:r>
      <w:r w:rsidRPr="00934DF1">
        <w:t>Organizations filled out an entry form that asked</w:t>
      </w:r>
      <w:r w:rsidR="00803DB1" w:rsidRPr="00D173D0">
        <w:t>, among others,</w:t>
      </w:r>
      <w:r w:rsidRPr="00934DF1">
        <w:t xml:space="preserve"> for </w:t>
      </w:r>
      <w:r w:rsidR="00803DB1" w:rsidRPr="00D173D0">
        <w:rPr>
          <w:color w:val="000000"/>
        </w:rPr>
        <w:t xml:space="preserve">organizational level information such as human resources, fundraising strategies, and social media use to determine selection into the </w:t>
      </w:r>
      <w:r w:rsidR="00803DB1" w:rsidRPr="00D173D0">
        <w:rPr>
          <w:color w:val="000000"/>
        </w:rPr>
        <w:lastRenderedPageBreak/>
        <w:t xml:space="preserve">competition. </w:t>
      </w:r>
      <w:r w:rsidR="00934DF1">
        <w:t>In order for a nonprofit to be part of the online fundraising tournament they must go through an application process to be appropriately paired with a similarly sized competitor.</w:t>
      </w:r>
      <w:r w:rsidR="00AC71B7">
        <w:t xml:space="preserve"> These matchups </w:t>
      </w:r>
      <w:r w:rsidR="00F627E5">
        <w:t>were</w:t>
      </w:r>
      <w:r w:rsidR="00AC71B7">
        <w:t xml:space="preserve"> made based on organizational capacity, motivation, and effort (Levine Daniel, 2017).</w:t>
      </w:r>
      <w:r w:rsidR="00934DF1">
        <w:t xml:space="preserve"> </w:t>
      </w:r>
      <w:r w:rsidR="00803DB1" w:rsidRPr="00434452">
        <w:rPr>
          <w:color w:val="000000"/>
        </w:rPr>
        <w:t xml:space="preserve">In total, </w:t>
      </w:r>
      <w:r>
        <w:t xml:space="preserve">64 </w:t>
      </w:r>
      <w:r w:rsidR="00803DB1">
        <w:t xml:space="preserve">organizations were </w:t>
      </w:r>
      <w:r>
        <w:t xml:space="preserve">selected to compete in head-to-head matchups in </w:t>
      </w:r>
      <w:r w:rsidR="00434452">
        <w:t>the</w:t>
      </w:r>
      <w:r>
        <w:t xml:space="preserve"> </w:t>
      </w:r>
      <w:r w:rsidR="004D0A05">
        <w:t>bracket</w:t>
      </w:r>
      <w:r>
        <w:t>-style tournament</w:t>
      </w:r>
      <w:r w:rsidR="00434452">
        <w:t xml:space="preserve"> we studied</w:t>
      </w:r>
      <w:r>
        <w:t>.</w:t>
      </w:r>
      <w:r w:rsidR="00803DB1">
        <w:t xml:space="preserve"> </w:t>
      </w:r>
      <w:r>
        <w:t xml:space="preserve"> Figure 3 provides a visual of how different nonprofit organizations are matched up in a bracket, thus facilitating direct competition. All entrants keep the money they raise, and the organization that out-fundraises</w:t>
      </w:r>
      <w:r w:rsidR="007C2794">
        <w:t xml:space="preserve"> </w:t>
      </w:r>
      <w:r>
        <w:t>its competition through four rounds wins an additional monetary prize. BFG was selected for this</w:t>
      </w:r>
      <w:r w:rsidR="007C2794">
        <w:t xml:space="preserve"> </w:t>
      </w:r>
      <w:r>
        <w:t>exploration as they were considered a leader in innovative fundraising platforms, even being</w:t>
      </w:r>
      <w:r w:rsidR="007C2794">
        <w:t xml:space="preserve"> </w:t>
      </w:r>
      <w:r>
        <w:t>labeled a ‘fundraising tool to watch’ (Nonprofit Tech for Good, 2017).</w:t>
      </w:r>
      <w:bookmarkStart w:id="1" w:name="_heading=h.gjdgxs" w:colFirst="0" w:colLast="0"/>
      <w:bookmarkEnd w:id="1"/>
      <w:r w:rsidR="007C2794">
        <w:t xml:space="preserve"> </w:t>
      </w:r>
    </w:p>
    <w:p w14:paraId="00000031" w14:textId="1506622E" w:rsidR="00165A52" w:rsidRDefault="00165A52" w:rsidP="009E6967">
      <w:pPr>
        <w:spacing w:line="480" w:lineRule="auto"/>
        <w:ind w:firstLine="0"/>
      </w:pPr>
    </w:p>
    <w:p w14:paraId="00000032" w14:textId="5858461D" w:rsidR="00165A52" w:rsidRDefault="00B02078" w:rsidP="009E6967">
      <w:pPr>
        <w:spacing w:line="480" w:lineRule="auto"/>
        <w:ind w:firstLine="0"/>
        <w:jc w:val="center"/>
      </w:pPr>
      <w:r>
        <w:t xml:space="preserve"> [Insert Figure 3 about here]</w:t>
      </w:r>
    </w:p>
    <w:p w14:paraId="00000033" w14:textId="56C3B55D" w:rsidR="00165A52" w:rsidRDefault="00165A52" w:rsidP="009E6967">
      <w:pPr>
        <w:spacing w:line="480" w:lineRule="auto"/>
      </w:pPr>
    </w:p>
    <w:p w14:paraId="00000035" w14:textId="3828CDB0" w:rsidR="00165A52" w:rsidRPr="009E6967" w:rsidRDefault="00434452" w:rsidP="009E6967">
      <w:pPr>
        <w:spacing w:line="480" w:lineRule="auto"/>
        <w:rPr>
          <w:rFonts w:ascii="Gill Sans" w:eastAsia="Gill Sans" w:hAnsi="Gill Sans" w:cs="Gill Sans"/>
        </w:rPr>
      </w:pPr>
      <w:r>
        <w:t>To</w:t>
      </w:r>
      <w:r w:rsidR="00B02078">
        <w:t xml:space="preserve"> link social media messaging with donations, we first identified Twitter activity from the March 2017 tournament (3,057 original tweets using BFG-related hashtags along with their timestamps). We then matched data from the donation timeline (31,922 data points) to see what type of framing engages followers to act (i.e., donate). Each data point on the donation timeline showed how much someone donated to a specific organization, and the time the donation was made. The tournament included multiple rounds of competition, but here we focus only on the first round since subsequent rounds would unfairly balance the tweeting and fundraising opportunities for organizations still in the competition. </w:t>
      </w:r>
    </w:p>
    <w:p w14:paraId="00000037" w14:textId="106797A8" w:rsidR="00165A52" w:rsidRDefault="00B02078" w:rsidP="009E6967">
      <w:pPr>
        <w:pStyle w:val="Heading2"/>
        <w:spacing w:line="480" w:lineRule="auto"/>
        <w:ind w:left="0" w:firstLine="0"/>
      </w:pPr>
      <w:r>
        <w:t>Tweet Sampling Strategy</w:t>
      </w:r>
    </w:p>
    <w:p w14:paraId="00000039" w14:textId="7131BCC7" w:rsidR="00165A52" w:rsidRPr="009E6967" w:rsidRDefault="00B02078" w:rsidP="003137F9">
      <w:pPr>
        <w:pBdr>
          <w:top w:val="nil"/>
          <w:left w:val="nil"/>
          <w:bottom w:val="nil"/>
          <w:right w:val="nil"/>
          <w:between w:val="nil"/>
        </w:pBdr>
        <w:spacing w:line="480" w:lineRule="auto"/>
        <w:ind w:firstLine="560"/>
        <w:rPr>
          <w:color w:val="000000"/>
        </w:rPr>
      </w:pPr>
      <w:r>
        <w:rPr>
          <w:color w:val="000000"/>
        </w:rPr>
        <w:lastRenderedPageBreak/>
        <w:t xml:space="preserve">In order to collect our sample of tweets we utilized the hashtags promoted by BFG as search terms through </w:t>
      </w:r>
      <w:proofErr w:type="spellStart"/>
      <w:r>
        <w:rPr>
          <w:color w:val="000000"/>
        </w:rPr>
        <w:t>birdIQ</w:t>
      </w:r>
      <w:proofErr w:type="spellEnd"/>
      <w:r>
        <w:rPr>
          <w:color w:val="000000"/>
        </w:rPr>
        <w:t xml:space="preserve">. BFG released a suggested marketing strategy that included the use of specific #BFG terms that would connect the audience and nonprofits who were actively using social media to promote the tournament and drive donations. These hashtags were also used on other platforms like Instagram and Facebook. However, Twitter had the most traffic and use across the nonprofits and those on Instagram and Facebook were also active on Twitter. Therefore, as the most widely used platform, we opted to focus our analysis on Twitter. </w:t>
      </w:r>
    </w:p>
    <w:p w14:paraId="0000003A" w14:textId="77777777" w:rsidR="00165A52" w:rsidRDefault="00B02078" w:rsidP="009E6967">
      <w:pPr>
        <w:pStyle w:val="Heading2"/>
        <w:spacing w:line="480" w:lineRule="auto"/>
        <w:ind w:left="0" w:firstLine="0"/>
      </w:pPr>
      <w:r>
        <w:t>Tweet Coding Strategy</w:t>
      </w:r>
    </w:p>
    <w:p w14:paraId="0000003B" w14:textId="0382A413" w:rsidR="00165A52" w:rsidRDefault="00B02078" w:rsidP="009E6967">
      <w:pPr>
        <w:pBdr>
          <w:top w:val="nil"/>
          <w:left w:val="nil"/>
          <w:bottom w:val="nil"/>
          <w:right w:val="nil"/>
          <w:between w:val="nil"/>
        </w:pBdr>
        <w:spacing w:line="480" w:lineRule="auto"/>
        <w:ind w:left="160" w:firstLine="560"/>
        <w:rPr>
          <w:color w:val="000000"/>
        </w:rPr>
      </w:pPr>
      <w:r>
        <w:rPr>
          <w:color w:val="000000"/>
        </w:rPr>
        <w:t xml:space="preserve">Twitter is an ideal platform to study in this </w:t>
      </w:r>
      <w:r w:rsidR="000B11FD">
        <w:rPr>
          <w:color w:val="000000"/>
        </w:rPr>
        <w:t xml:space="preserve">competitive philanthropy </w:t>
      </w:r>
      <w:r>
        <w:rPr>
          <w:color w:val="000000"/>
        </w:rPr>
        <w:t>because of its constant stream of communications, including real-time updates and the ability to respond to stakeholder reactions (Golbeck et al., 2010). This platform is more conversational in nature with an interface that is simpler for the user (than, for example, Facebook) and designed for use across desktop and mobile devices (Kwon et al., 2014). In addition, organizations often use Twitter to reach multiple audiences, including both their own members and the general public (Halpin</w:t>
      </w:r>
      <w:r w:rsidR="00434452">
        <w:rPr>
          <w:color w:val="000000"/>
        </w:rPr>
        <w:t xml:space="preserve"> et al.</w:t>
      </w:r>
      <w:r>
        <w:rPr>
          <w:color w:val="000000"/>
        </w:rPr>
        <w:t xml:space="preserve">, 2021). </w:t>
      </w:r>
      <w:r w:rsidR="000B11FD">
        <w:rPr>
          <w:color w:val="000000"/>
        </w:rPr>
        <w:t>During</w:t>
      </w:r>
      <w:r>
        <w:rPr>
          <w:color w:val="000000"/>
        </w:rPr>
        <w:t xml:space="preserve"> the BFG tournament the tweets fell into categories of calls for donation, performance updates, </w:t>
      </w:r>
      <w:proofErr w:type="spellStart"/>
      <w:r>
        <w:rPr>
          <w:color w:val="000000"/>
        </w:rPr>
        <w:t>shoutouts</w:t>
      </w:r>
      <w:proofErr w:type="spellEnd"/>
      <w:r>
        <w:rPr>
          <w:color w:val="000000"/>
        </w:rPr>
        <w:t xml:space="preserve"> or thank </w:t>
      </w:r>
      <w:proofErr w:type="spellStart"/>
      <w:r>
        <w:rPr>
          <w:color w:val="000000"/>
        </w:rPr>
        <w:t>yous</w:t>
      </w:r>
      <w:proofErr w:type="spellEnd"/>
      <w:r>
        <w:rPr>
          <w:color w:val="000000"/>
        </w:rPr>
        <w:t xml:space="preserve"> to donors, </w:t>
      </w:r>
      <w:r w:rsidR="00934DF1">
        <w:rPr>
          <w:color w:val="000000"/>
        </w:rPr>
        <w:t xml:space="preserve">and </w:t>
      </w:r>
      <w:r>
        <w:rPr>
          <w:color w:val="000000"/>
        </w:rPr>
        <w:t>direct calls to competition.</w:t>
      </w:r>
    </w:p>
    <w:p w14:paraId="0000003D" w14:textId="1C2419B4" w:rsidR="00165A52" w:rsidRDefault="00B02078" w:rsidP="009E6967">
      <w:pPr>
        <w:pBdr>
          <w:top w:val="nil"/>
          <w:left w:val="nil"/>
          <w:bottom w:val="nil"/>
          <w:right w:val="nil"/>
          <w:between w:val="nil"/>
        </w:pBdr>
        <w:spacing w:line="480" w:lineRule="auto"/>
        <w:ind w:left="160" w:firstLine="560"/>
        <w:rPr>
          <w:color w:val="000000"/>
        </w:rPr>
      </w:pPr>
      <w:r>
        <w:rPr>
          <w:color w:val="000000"/>
        </w:rPr>
        <w:t xml:space="preserve">Two independent coders read and identified the contents of each tweet. They initially coded them into categories such as s ‘game references’, ‘specific basketball reference’, ‘competitive spirit’, ‘mission specific tug’, ‘call for general do goodness’, ‘reference to the big prize’, ‘proposes fundraising scheme/suggested donation’, ‘encourages donation broadly’, ‘thanks for donation’. We then aggregated these categories into frames. For example, ‘mission- specific tug’ and ‘call for general do-goodness’ are considered philanthropy framing, while </w:t>
      </w:r>
      <w:r>
        <w:rPr>
          <w:color w:val="000000"/>
        </w:rPr>
        <w:lastRenderedPageBreak/>
        <w:t xml:space="preserve">‘specific basketball reference’ is gamification framing. Table 1 provides additional examples of coding categories and frames. </w:t>
      </w:r>
    </w:p>
    <w:p w14:paraId="0000003E" w14:textId="77777777" w:rsidR="00165A52" w:rsidRDefault="00B02078" w:rsidP="009E6967">
      <w:pPr>
        <w:pBdr>
          <w:top w:val="nil"/>
          <w:left w:val="nil"/>
          <w:bottom w:val="nil"/>
          <w:right w:val="nil"/>
          <w:between w:val="nil"/>
        </w:pBdr>
        <w:spacing w:line="480" w:lineRule="auto"/>
        <w:ind w:firstLine="0"/>
        <w:jc w:val="center"/>
        <w:rPr>
          <w:color w:val="000000"/>
        </w:rPr>
      </w:pPr>
      <w:r>
        <w:rPr>
          <w:color w:val="000000"/>
        </w:rPr>
        <w:t>[Table 1 about here]</w:t>
      </w:r>
    </w:p>
    <w:p w14:paraId="0000003F" w14:textId="77777777" w:rsidR="00165A52" w:rsidRDefault="00165A52" w:rsidP="009E6967">
      <w:pPr>
        <w:spacing w:line="480" w:lineRule="auto"/>
      </w:pPr>
    </w:p>
    <w:p w14:paraId="00000041" w14:textId="37838EFF" w:rsidR="00165A52" w:rsidRPr="009E6967" w:rsidRDefault="00B02078" w:rsidP="003137F9">
      <w:pPr>
        <w:spacing w:line="480" w:lineRule="auto"/>
        <w:rPr>
          <w:sz w:val="36"/>
          <w:szCs w:val="36"/>
          <w:vertAlign w:val="superscript"/>
        </w:rPr>
      </w:pPr>
      <w:r>
        <w:t>Each tweet was allowed to have multiple coded categories based on the content. We allow for each statement to receive codes across the content</w:t>
      </w:r>
      <w:r w:rsidR="003137F9">
        <w:t xml:space="preserve"> so each tweet could be coded under multiple frames. </w:t>
      </w:r>
      <w:r>
        <w:t xml:space="preserve">For example, if a tweet has a mission-specific tug, the tweet was coded as philanthropy framing. If that same tweet also makes a basketball reference, then they also are coded as gamification framing. We recognize that some statements have sentiments of more than one coded category. Our models include variables that account for these more dynamic tweet strategies. </w:t>
      </w:r>
    </w:p>
    <w:p w14:paraId="00000043" w14:textId="42DDA875" w:rsidR="00165A52" w:rsidRDefault="00B02078" w:rsidP="009E6967">
      <w:pPr>
        <w:pStyle w:val="Heading2"/>
        <w:spacing w:line="480" w:lineRule="auto"/>
        <w:ind w:left="0" w:firstLine="0"/>
      </w:pPr>
      <w:r>
        <w:t>Dependent Variable</w:t>
      </w:r>
    </w:p>
    <w:p w14:paraId="00000044" w14:textId="77777777" w:rsidR="00165A52" w:rsidRDefault="00B02078" w:rsidP="009E6967">
      <w:pPr>
        <w:spacing w:line="480" w:lineRule="auto"/>
        <w:rPr>
          <w:rFonts w:ascii="Gill Sans" w:eastAsia="Gill Sans" w:hAnsi="Gill Sans" w:cs="Gill Sans"/>
        </w:rPr>
      </w:pPr>
      <w:r>
        <w:t xml:space="preserve">Our focus is on active publics, i.e., evidence of people shifting to take actions on behalf of the organization. We measure this as total dollars raised. </w:t>
      </w:r>
      <w:r>
        <w:rPr>
          <w:i/>
        </w:rPr>
        <w:t xml:space="preserve">Total Dollars Raised </w:t>
      </w:r>
      <w:r>
        <w:t xml:space="preserve">can be considered a measure of magnitude regarding an active public and has a mean of $1,015. See Table 2 for descriptive statistics of all variables. </w:t>
      </w:r>
    </w:p>
    <w:p w14:paraId="00000045" w14:textId="77777777" w:rsidR="00165A52" w:rsidRDefault="00165A52" w:rsidP="009E6967">
      <w:pPr>
        <w:pBdr>
          <w:top w:val="nil"/>
          <w:left w:val="nil"/>
          <w:bottom w:val="nil"/>
          <w:right w:val="nil"/>
          <w:between w:val="nil"/>
        </w:pBdr>
        <w:spacing w:line="480" w:lineRule="auto"/>
        <w:ind w:left="160" w:firstLine="560"/>
        <w:rPr>
          <w:color w:val="000000"/>
        </w:rPr>
      </w:pPr>
    </w:p>
    <w:p w14:paraId="00000046" w14:textId="77777777" w:rsidR="00165A52" w:rsidRDefault="00B02078" w:rsidP="009E6967">
      <w:pPr>
        <w:pBdr>
          <w:top w:val="nil"/>
          <w:left w:val="nil"/>
          <w:bottom w:val="nil"/>
          <w:right w:val="nil"/>
          <w:between w:val="nil"/>
        </w:pBdr>
        <w:spacing w:line="480" w:lineRule="auto"/>
        <w:ind w:firstLine="0"/>
        <w:jc w:val="center"/>
        <w:rPr>
          <w:color w:val="000000"/>
        </w:rPr>
      </w:pPr>
      <w:r>
        <w:rPr>
          <w:color w:val="000000"/>
        </w:rPr>
        <w:t>[Table 2 about here]</w:t>
      </w:r>
    </w:p>
    <w:p w14:paraId="00000047" w14:textId="77777777" w:rsidR="00165A52" w:rsidRDefault="00165A52" w:rsidP="009E6967">
      <w:pPr>
        <w:spacing w:line="480" w:lineRule="auto"/>
      </w:pPr>
    </w:p>
    <w:p w14:paraId="00000049" w14:textId="4C9468FE" w:rsidR="00165A52" w:rsidRDefault="00B02078" w:rsidP="009E6967">
      <w:pPr>
        <w:pStyle w:val="Heading2"/>
        <w:spacing w:line="480" w:lineRule="auto"/>
        <w:ind w:left="0" w:firstLine="0"/>
      </w:pPr>
      <w:r>
        <w:t>Independent Variables: Framing</w:t>
      </w:r>
    </w:p>
    <w:p w14:paraId="0000004A" w14:textId="77777777" w:rsidR="00165A52" w:rsidRDefault="00B02078" w:rsidP="009E6967">
      <w:pPr>
        <w:spacing w:line="480" w:lineRule="auto"/>
      </w:pPr>
      <w:r>
        <w:t xml:space="preserve">Our independent variables focused on messaging related to the characteristics of competitive philanthropy. We sorted each tweet into one of three frames: </w:t>
      </w:r>
      <w:r>
        <w:rPr>
          <w:i/>
        </w:rPr>
        <w:t>philanthropy</w:t>
      </w:r>
      <w:r>
        <w:t xml:space="preserve">, </w:t>
      </w:r>
      <w:r>
        <w:rPr>
          <w:i/>
        </w:rPr>
        <w:t>gamification</w:t>
      </w:r>
      <w:r>
        <w:t xml:space="preserve">, and </w:t>
      </w:r>
      <w:r>
        <w:rPr>
          <w:i/>
        </w:rPr>
        <w:t>crowdfunding</w:t>
      </w:r>
      <w:r>
        <w:t xml:space="preserve">. </w:t>
      </w:r>
    </w:p>
    <w:p w14:paraId="0000004B" w14:textId="77777777" w:rsidR="00165A52" w:rsidRDefault="00B02078" w:rsidP="009E6967">
      <w:pPr>
        <w:spacing w:line="480" w:lineRule="auto"/>
        <w:rPr>
          <w:rFonts w:ascii="Gill Sans" w:eastAsia="Gill Sans" w:hAnsi="Gill Sans" w:cs="Gill Sans"/>
        </w:rPr>
      </w:pPr>
      <w:r>
        <w:rPr>
          <w:i/>
        </w:rPr>
        <w:lastRenderedPageBreak/>
        <w:t xml:space="preserve">Philanthropy Framing </w:t>
      </w:r>
      <w:r>
        <w:t xml:space="preserve">represents tweets focused primarily on the organization’s core mission and/or spoke about generally doing good, appealing to the altruistic aspects of philanthropy. An example would be an animal shelter encouraging its followers to “save some kitties”. In our data 11.8% of organizations utilize philanthropy in at least one social media message. </w:t>
      </w:r>
    </w:p>
    <w:p w14:paraId="0000004C" w14:textId="77777777" w:rsidR="00165A52" w:rsidRDefault="00B02078" w:rsidP="009E6967">
      <w:pPr>
        <w:spacing w:line="480" w:lineRule="auto"/>
        <w:rPr>
          <w:rFonts w:ascii="Gill Sans" w:eastAsia="Gill Sans" w:hAnsi="Gill Sans" w:cs="Gill Sans"/>
        </w:rPr>
      </w:pPr>
      <w:r>
        <w:rPr>
          <w:i/>
        </w:rPr>
        <w:t xml:space="preserve">Gamification Framing </w:t>
      </w:r>
      <w:r>
        <w:t xml:space="preserve">tweets played up the competitive aspects of the game or included basketball-related references. “The final buzzer is about to sound! Push us over the edge and score points” is an example of a gamification message. Approximately 17 % of the participants in our data utilize competition in some form to market their organization. </w:t>
      </w:r>
    </w:p>
    <w:p w14:paraId="0000004E" w14:textId="4CD19597" w:rsidR="00165A52" w:rsidRPr="009E6967" w:rsidRDefault="00B02078" w:rsidP="009E6967">
      <w:pPr>
        <w:spacing w:line="480" w:lineRule="auto"/>
        <w:rPr>
          <w:rFonts w:ascii="Gill Sans" w:eastAsia="Gill Sans" w:hAnsi="Gill Sans" w:cs="Gill Sans"/>
        </w:rPr>
      </w:pPr>
      <w:r>
        <w:rPr>
          <w:i/>
        </w:rPr>
        <w:t xml:space="preserve">Crowdfunding Framing </w:t>
      </w:r>
      <w:r>
        <w:t xml:space="preserve">tweets directly referenced money and/or egoistic benefits for donors. “We’re looking for this round’s MVD (Most Valuable Donor)! Will it be you?” is an example of this type of messaging that focuses more on the donor than on the organization. </w:t>
      </w:r>
      <w:r w:rsidR="003137F9">
        <w:t>Over 87% of organizations ut</w:t>
      </w:r>
      <w:r>
        <w:t>ilize</w:t>
      </w:r>
      <w:r w:rsidR="003137F9">
        <w:t>d</w:t>
      </w:r>
      <w:r>
        <w:t xml:space="preserve"> a monetary-oriented approach to their social media strategy. </w:t>
      </w:r>
    </w:p>
    <w:p w14:paraId="00000050" w14:textId="579391EF" w:rsidR="00165A52" w:rsidRDefault="00B02078" w:rsidP="009E6967">
      <w:pPr>
        <w:pStyle w:val="Heading2"/>
        <w:spacing w:line="480" w:lineRule="auto"/>
        <w:ind w:left="0" w:firstLine="0"/>
      </w:pPr>
      <w:r>
        <w:t>Control Variables</w:t>
      </w:r>
    </w:p>
    <w:p w14:paraId="00000051" w14:textId="77777777" w:rsidR="00165A52" w:rsidRDefault="00B02078" w:rsidP="009E6967">
      <w:pPr>
        <w:spacing w:line="480" w:lineRule="auto"/>
      </w:pPr>
      <w:r>
        <w:t xml:space="preserve">We controlled for </w:t>
      </w:r>
      <w:r>
        <w:rPr>
          <w:i/>
        </w:rPr>
        <w:t xml:space="preserve">Total Tweets </w:t>
      </w:r>
      <w:r>
        <w:t xml:space="preserve">to help isolate the messaging effect, rather than the effect of tweeting itself. The mean was approximately 1; however, several organizations actively engaged in tweeting, sending as many as 49 tweets in the first round alone. </w:t>
      </w:r>
    </w:p>
    <w:p w14:paraId="00000052" w14:textId="5115D455" w:rsidR="00165A52" w:rsidRDefault="00B02078" w:rsidP="009E6967">
      <w:pPr>
        <w:spacing w:line="480" w:lineRule="auto"/>
        <w:rPr>
          <w:rFonts w:ascii="Gill Sans" w:eastAsia="Gill Sans" w:hAnsi="Gill Sans" w:cs="Gill Sans"/>
          <w:sz w:val="33"/>
          <w:szCs w:val="33"/>
          <w:vertAlign w:val="superscript"/>
        </w:rPr>
      </w:pPr>
      <w:r>
        <w:t xml:space="preserve">We used </w:t>
      </w:r>
      <w:r>
        <w:rPr>
          <w:i/>
        </w:rPr>
        <w:t xml:space="preserve">Unrestricted Funds </w:t>
      </w:r>
      <w:r>
        <w:t>as a proxy for organizational financial capacity. Unrestricted funds represent an internal funding source (Calabrese, 2012). The mean reported was $1.4 million.</w:t>
      </w:r>
      <w:r w:rsidR="007C2794">
        <w:t xml:space="preserve"> </w:t>
      </w:r>
    </w:p>
    <w:p w14:paraId="00000053" w14:textId="77777777" w:rsidR="00165A52" w:rsidRDefault="00B02078" w:rsidP="009E6967">
      <w:pPr>
        <w:spacing w:line="480" w:lineRule="auto"/>
      </w:pPr>
      <w:r>
        <w:t xml:space="preserve">We also control for </w:t>
      </w:r>
      <w:r>
        <w:rPr>
          <w:i/>
        </w:rPr>
        <w:t xml:space="preserve">Fundraising Expenses </w:t>
      </w:r>
      <w:r>
        <w:t>since this expenditure may affect the resources</w:t>
      </w:r>
      <w:r>
        <w:rPr>
          <w:rFonts w:ascii="Gill Sans" w:eastAsia="Gill Sans" w:hAnsi="Gill Sans" w:cs="Gill Sans"/>
          <w:sz w:val="33"/>
          <w:szCs w:val="33"/>
          <w:vertAlign w:val="superscript"/>
        </w:rPr>
        <w:t xml:space="preserve"> </w:t>
      </w:r>
      <w:r>
        <w:t>an organization has to devote to a funding campaign such as BFG. The mean reported was $513, 215.</w:t>
      </w:r>
    </w:p>
    <w:p w14:paraId="000887C7" w14:textId="77777777" w:rsidR="00934DF1" w:rsidRDefault="00934DF1" w:rsidP="009E6967">
      <w:pPr>
        <w:spacing w:line="480" w:lineRule="auto"/>
      </w:pPr>
    </w:p>
    <w:p w14:paraId="31D8000B" w14:textId="5244F0DC" w:rsidR="00934DF1" w:rsidRDefault="00934DF1" w:rsidP="009E6967">
      <w:pPr>
        <w:pStyle w:val="Heading2"/>
        <w:spacing w:line="480" w:lineRule="auto"/>
        <w:ind w:left="0" w:firstLine="0"/>
      </w:pPr>
      <w:r>
        <w:t>Data Analysis</w:t>
      </w:r>
    </w:p>
    <w:p w14:paraId="00000054" w14:textId="44C17738" w:rsidR="00165A52" w:rsidRPr="009E6967" w:rsidRDefault="00934DF1" w:rsidP="009E6967">
      <w:pPr>
        <w:spacing w:line="480" w:lineRule="auto"/>
      </w:pPr>
      <w:r>
        <w:t xml:space="preserve">We used OLS to estimate a relationship between an organization’s tweets and its active publics for the 485 organizations in our sample. We used </w:t>
      </w:r>
      <w:r>
        <w:rPr>
          <w:i/>
        </w:rPr>
        <w:t xml:space="preserve">Total Dollars Raised </w:t>
      </w:r>
      <w:r>
        <w:t xml:space="preserve">as the dependent variable: We iterated the model 4 times: Model 1 established a relationship between tweeting generally and total dollars raised, Model 2 established a baseline with the independent framing variables, Model 3 incorporated and controlled for organizational characteristics, and the full specification in Model 4 included interactions between the framing variables. </w:t>
      </w:r>
    </w:p>
    <w:p w14:paraId="00000056" w14:textId="4D0788D8" w:rsidR="00165A52" w:rsidRDefault="00B02078" w:rsidP="009E6967">
      <w:pPr>
        <w:pStyle w:val="Heading1"/>
        <w:spacing w:line="480" w:lineRule="auto"/>
        <w:ind w:left="0" w:firstLine="0"/>
      </w:pPr>
      <w:r>
        <w:t>Findings</w:t>
      </w:r>
    </w:p>
    <w:p w14:paraId="00000058" w14:textId="77777777" w:rsidR="00165A52" w:rsidRDefault="00B02078" w:rsidP="009E6967">
      <w:pPr>
        <w:spacing w:line="480" w:lineRule="auto"/>
      </w:pPr>
      <w:r>
        <w:t xml:space="preserve">As Model 1 shows, an increase in </w:t>
      </w:r>
      <w:r>
        <w:rPr>
          <w:i/>
        </w:rPr>
        <w:t xml:space="preserve">Total Tweets </w:t>
      </w:r>
      <w:r>
        <w:t>is associated with an increase in total donations of $277.7. This confirms a relationship between tweeting and donations. However, this model only explains approximately 10% of the variability in donations. Table 3 shows additional details for Model 1.</w:t>
      </w:r>
    </w:p>
    <w:p w14:paraId="00000059" w14:textId="77777777" w:rsidR="00165A52" w:rsidRDefault="00165A52" w:rsidP="009E6967">
      <w:pPr>
        <w:spacing w:line="480" w:lineRule="auto"/>
      </w:pPr>
    </w:p>
    <w:p w14:paraId="0000005A" w14:textId="77777777" w:rsidR="00165A52" w:rsidRDefault="00B02078" w:rsidP="009E6967">
      <w:pPr>
        <w:spacing w:line="480" w:lineRule="auto"/>
        <w:ind w:firstLine="0"/>
        <w:jc w:val="center"/>
      </w:pPr>
      <w:r>
        <w:t>[Table 3 about here]</w:t>
      </w:r>
    </w:p>
    <w:p w14:paraId="0000005B" w14:textId="77777777" w:rsidR="00165A52" w:rsidRDefault="00165A52" w:rsidP="009E6967">
      <w:pPr>
        <w:spacing w:line="480" w:lineRule="auto"/>
      </w:pPr>
    </w:p>
    <w:p w14:paraId="0000005C" w14:textId="63567D3A" w:rsidR="00165A52" w:rsidRDefault="00B02078" w:rsidP="009E6967">
      <w:pPr>
        <w:spacing w:line="480" w:lineRule="auto"/>
      </w:pPr>
      <w:r>
        <w:t xml:space="preserve">Tweeting itself was related to increased donations, but accounting for messaging increased the explanatory power of the models. Though the Brackets for Good </w:t>
      </w:r>
      <w:r w:rsidR="005612A9">
        <w:t xml:space="preserve">tournament </w:t>
      </w:r>
      <w:r>
        <w:t xml:space="preserve">was competitive, this was, at heart, a fundraising drive. </w:t>
      </w:r>
      <w:r>
        <w:rPr>
          <w:i/>
        </w:rPr>
        <w:t xml:space="preserve">Philanthropy Framing </w:t>
      </w:r>
      <w:r>
        <w:t>(i.e.</w:t>
      </w:r>
      <w:r w:rsidR="00934DF1">
        <w:t>,</w:t>
      </w:r>
      <w:r>
        <w:t xml:space="preserve"> the organization’s mission) was positively and significantly associated with total donations, supporting H1. A one unit increase in philanthropy-framed tweets was associated with an increase in donations ranging from $505-614 (Table 4, all models).</w:t>
      </w:r>
    </w:p>
    <w:p w14:paraId="0000005D" w14:textId="77777777" w:rsidR="00165A52" w:rsidRDefault="00B02078" w:rsidP="009E6967">
      <w:pPr>
        <w:spacing w:line="480" w:lineRule="auto"/>
      </w:pPr>
      <w:r>
        <w:lastRenderedPageBreak/>
        <w:t xml:space="preserve">We initially hypothesized that messages related to crowdfunding and gamification would both be associated with active publics. As Table 4 shows, </w:t>
      </w:r>
      <w:r>
        <w:rPr>
          <w:i/>
        </w:rPr>
        <w:t xml:space="preserve">Crowdfunding Framing </w:t>
      </w:r>
      <w:r>
        <w:t>was not significant when it comes to total funds. Thus, H2 is not supported.</w:t>
      </w:r>
    </w:p>
    <w:p w14:paraId="0000005E" w14:textId="77777777" w:rsidR="00165A52" w:rsidRDefault="00165A52" w:rsidP="009E6967">
      <w:pPr>
        <w:spacing w:line="480" w:lineRule="auto"/>
      </w:pPr>
    </w:p>
    <w:p w14:paraId="0000005F" w14:textId="77777777" w:rsidR="00165A52" w:rsidRDefault="00B02078" w:rsidP="009E6967">
      <w:pPr>
        <w:pBdr>
          <w:top w:val="nil"/>
          <w:left w:val="nil"/>
          <w:bottom w:val="nil"/>
          <w:right w:val="nil"/>
          <w:between w:val="nil"/>
        </w:pBdr>
        <w:spacing w:line="480" w:lineRule="auto"/>
        <w:ind w:firstLine="0"/>
        <w:jc w:val="center"/>
        <w:rPr>
          <w:color w:val="000000"/>
        </w:rPr>
      </w:pPr>
      <w:r>
        <w:rPr>
          <w:color w:val="000000"/>
        </w:rPr>
        <w:t>[Table 4 about here]</w:t>
      </w:r>
    </w:p>
    <w:p w14:paraId="00000060" w14:textId="77777777" w:rsidR="00165A52" w:rsidRDefault="00165A52" w:rsidP="009E6967">
      <w:pPr>
        <w:spacing w:line="480" w:lineRule="auto"/>
      </w:pPr>
    </w:p>
    <w:p w14:paraId="00000061" w14:textId="68B89FB7" w:rsidR="00165A52" w:rsidRDefault="00B02078" w:rsidP="009E6967">
      <w:pPr>
        <w:spacing w:line="480" w:lineRule="auto"/>
      </w:pPr>
      <w:r>
        <w:t>The format of the Brackets for Good tournament makes the competitive nature of this gamified fundraising initiative explicit, which is, in part, why we expected messaging relating to</w:t>
      </w:r>
      <w:r>
        <w:rPr>
          <w:rFonts w:ascii="Gill Sans" w:eastAsia="Gill Sans" w:hAnsi="Gill Sans" w:cs="Gill Sans"/>
          <w:sz w:val="20"/>
          <w:szCs w:val="20"/>
        </w:rPr>
        <w:t xml:space="preserve"> </w:t>
      </w:r>
      <w:r>
        <w:t xml:space="preserve">the gamification to be associated with active publics. However, </w:t>
      </w:r>
      <w:r>
        <w:rPr>
          <w:i/>
        </w:rPr>
        <w:t xml:space="preserve">Gamification Framing </w:t>
      </w:r>
      <w:r>
        <w:t xml:space="preserve">was negatively related to </w:t>
      </w:r>
      <w:r>
        <w:rPr>
          <w:i/>
        </w:rPr>
        <w:t>Total Dollars Raised</w:t>
      </w:r>
      <w:r>
        <w:t xml:space="preserve">. A one unit increase in gamification-focused tweets was associated with a decrease in donations ranging from $343-382, disproving H3. </w:t>
      </w:r>
    </w:p>
    <w:p w14:paraId="00000062" w14:textId="77777777" w:rsidR="00165A52" w:rsidRDefault="00B02078" w:rsidP="009E6967">
      <w:pPr>
        <w:spacing w:line="480" w:lineRule="auto"/>
      </w:pPr>
      <w:r>
        <w:t xml:space="preserve">Though </w:t>
      </w:r>
      <w:r>
        <w:rPr>
          <w:i/>
        </w:rPr>
        <w:t>Philanthropy Framing</w:t>
      </w:r>
      <w:r>
        <w:t xml:space="preserve"> was positively related to Total Dollars Raised and </w:t>
      </w:r>
      <w:r>
        <w:rPr>
          <w:i/>
        </w:rPr>
        <w:t xml:space="preserve">Crowdfunding </w:t>
      </w:r>
      <w:r>
        <w:t xml:space="preserve">was not significant, the </w:t>
      </w:r>
      <w:r>
        <w:rPr>
          <w:i/>
        </w:rPr>
        <w:t xml:space="preserve">Philanthropy*Crowdfunding </w:t>
      </w:r>
      <w:r>
        <w:t xml:space="preserve">interaction demonstrated a negative and significant relationship to </w:t>
      </w:r>
      <w:r>
        <w:rPr>
          <w:i/>
        </w:rPr>
        <w:t>Total Dollars Raised</w:t>
      </w:r>
      <w:r>
        <w:t xml:space="preserve">. The </w:t>
      </w:r>
      <w:r>
        <w:rPr>
          <w:i/>
        </w:rPr>
        <w:t xml:space="preserve">Crowdfunding*Gamification </w:t>
      </w:r>
      <w:r>
        <w:t xml:space="preserve">interaction was also negatively related to </w:t>
      </w:r>
      <w:r>
        <w:rPr>
          <w:i/>
        </w:rPr>
        <w:t>Total Dollars Raised</w:t>
      </w:r>
      <w:r>
        <w:t xml:space="preserve">. Interestingly, despite the negative relationship </w:t>
      </w:r>
      <w:r w:rsidRPr="004E062B">
        <w:rPr>
          <w:i/>
          <w:iCs/>
        </w:rPr>
        <w:t>Gamification Framing</w:t>
      </w:r>
      <w:r>
        <w:t xml:space="preserve"> had with </w:t>
      </w:r>
      <w:r w:rsidRPr="004E062B">
        <w:rPr>
          <w:i/>
          <w:iCs/>
        </w:rPr>
        <w:t>Total Dollars Raised</w:t>
      </w:r>
      <w:r>
        <w:t xml:space="preserve">, </w:t>
      </w:r>
      <w:r w:rsidRPr="004E062B">
        <w:rPr>
          <w:i/>
          <w:iCs/>
        </w:rPr>
        <w:t>Philanthropy Framing</w:t>
      </w:r>
      <w:r>
        <w:t xml:space="preserve"> appears to drive the positive, significant relationship between the </w:t>
      </w:r>
      <w:r>
        <w:rPr>
          <w:i/>
        </w:rPr>
        <w:t xml:space="preserve">Philanthropy*Gamification </w:t>
      </w:r>
      <w:r>
        <w:t xml:space="preserve">interaction </w:t>
      </w:r>
      <w:r w:rsidRPr="004E062B">
        <w:rPr>
          <w:i/>
          <w:iCs/>
        </w:rPr>
        <w:t>and Total Dollars Raised</w:t>
      </w:r>
      <w:r>
        <w:t xml:space="preserve">. </w:t>
      </w:r>
    </w:p>
    <w:p w14:paraId="00000063" w14:textId="77777777" w:rsidR="00165A52" w:rsidRDefault="00B02078" w:rsidP="009E6967">
      <w:pPr>
        <w:spacing w:line="480" w:lineRule="auto"/>
      </w:pPr>
      <w:r>
        <w:t>Neither of the control variables were significant. This null finding for fundraising capacity is notable because it reflects what Bhati and McDonnell (2020) found: an organization’s budget is not correlated with online fundraising success. This democratizes the opportunity for smaller nonprofits to reach larger audiences/potential fundraising pools.</w:t>
      </w:r>
    </w:p>
    <w:p w14:paraId="00000064" w14:textId="77777777" w:rsidR="00165A52" w:rsidRDefault="00165A52" w:rsidP="009E6967">
      <w:pPr>
        <w:spacing w:line="480" w:lineRule="auto"/>
      </w:pPr>
    </w:p>
    <w:p w14:paraId="00000065" w14:textId="5C1FEEF7" w:rsidR="00165A52" w:rsidRDefault="00B02078" w:rsidP="009E6967">
      <w:pPr>
        <w:pStyle w:val="Heading1"/>
        <w:spacing w:line="480" w:lineRule="auto"/>
        <w:ind w:left="0" w:firstLine="0"/>
      </w:pPr>
      <w:r>
        <w:lastRenderedPageBreak/>
        <w:t>Discussion</w:t>
      </w:r>
    </w:p>
    <w:p w14:paraId="00000066" w14:textId="62027313" w:rsidR="00165A52" w:rsidRDefault="00B02078" w:rsidP="009E6967">
      <w:pPr>
        <w:pBdr>
          <w:top w:val="nil"/>
          <w:left w:val="nil"/>
          <w:bottom w:val="nil"/>
          <w:right w:val="nil"/>
          <w:between w:val="nil"/>
        </w:pBdr>
        <w:spacing w:line="480" w:lineRule="auto"/>
        <w:ind w:left="160" w:firstLine="560"/>
        <w:rPr>
          <w:color w:val="000000"/>
        </w:rPr>
      </w:pPr>
      <w:r>
        <w:rPr>
          <w:rFonts w:ascii="Gill Sans" w:eastAsia="Gill Sans" w:hAnsi="Gill Sans" w:cs="Gill Sans"/>
          <w:color w:val="000000"/>
          <w:sz w:val="33"/>
          <w:szCs w:val="33"/>
          <w:vertAlign w:val="superscript"/>
        </w:rPr>
        <w:t xml:space="preserve"> </w:t>
      </w:r>
      <w:r>
        <w:rPr>
          <w:color w:val="000000"/>
        </w:rPr>
        <w:t>Previous research has suggested that social media engagement via actions like tweeting are important and relevant for driving donations. Halpin et al. (2021) identify intention to reach multiple audiences but not being able to know if successful - we offer a way to show if loops are truly dialogic. This study</w:t>
      </w:r>
      <w:r w:rsidR="003A2B80">
        <w:rPr>
          <w:color w:val="000000"/>
        </w:rPr>
        <w:t xml:space="preserve"> makes connections between tweeting and fundraising that demonstrate the importance of framing. </w:t>
      </w:r>
      <w:r>
        <w:rPr>
          <w:color w:val="000000"/>
        </w:rPr>
        <w:t>This research also suggests that despite the common scholarly acknowledgement that social media promotes donation and engagement with a donor and volunteer base, organizations are not utilizing this technique.</w:t>
      </w:r>
    </w:p>
    <w:p w14:paraId="00000067" w14:textId="77777777" w:rsidR="00165A52" w:rsidRDefault="00B02078" w:rsidP="009E6967">
      <w:pPr>
        <w:spacing w:line="480" w:lineRule="auto"/>
      </w:pPr>
      <w:r>
        <w:t>We demonstrate that by simply tweeting once during the competitive fundraising tournament organizations were able to increase their donations. We then demonstrate that the tweets utilized fell into one of three categories that undergird competitive philanthropy: philanthropy, gamification, and crowdfunding. Donors most positively responded to the philanthropic or altruistic attempts to raise funds. The use of competitive narratives and monetization appear to decrease donor interests in giving to an organization.</w:t>
      </w:r>
    </w:p>
    <w:p w14:paraId="00000068" w14:textId="03A926BB" w:rsidR="00165A52" w:rsidRDefault="00B02078" w:rsidP="009E6967">
      <w:pPr>
        <w:spacing w:line="480" w:lineRule="auto"/>
      </w:pPr>
      <w:r>
        <w:t>This finding may seem conflicting with existing research</w:t>
      </w:r>
      <w:r w:rsidR="003A2B80">
        <w:t xml:space="preserve">. For example, </w:t>
      </w:r>
      <w:r>
        <w:t xml:space="preserve">Levine Daniel and Eckerd (2019) have shown donors do not necessarily care about the mission and symbolic communication, but in that </w:t>
      </w:r>
      <w:r w:rsidR="005612A9">
        <w:t xml:space="preserve">study </w:t>
      </w:r>
      <w:r>
        <w:t>donation behavior was presumed (e.g.</w:t>
      </w:r>
      <w:r w:rsidR="00115072">
        <w:t>,</w:t>
      </w:r>
      <w:r>
        <w:t xml:space="preserve"> donors going to </w:t>
      </w:r>
      <w:proofErr w:type="spellStart"/>
      <w:r>
        <w:t>Guidestar</w:t>
      </w:r>
      <w:proofErr w:type="spellEnd"/>
      <w:r>
        <w:t xml:space="preserve"> to figure out </w:t>
      </w:r>
      <w:r>
        <w:rPr>
          <w:i/>
        </w:rPr>
        <w:t xml:space="preserve">where </w:t>
      </w:r>
      <w:r>
        <w:t xml:space="preserve">to donate, but had already made the decision </w:t>
      </w:r>
      <w:r>
        <w:rPr>
          <w:i/>
        </w:rPr>
        <w:t xml:space="preserve">to </w:t>
      </w:r>
      <w:r>
        <w:t xml:space="preserve">donate). Here, where competition is already presumed, we find that mission communication via tweets is relevant for creating the dialogic loops that move people to active publics. Given the platform, familiarity with Brackets for Good or exposure to marketing of the tournament appears to create unique and varied needs for social media communication. </w:t>
      </w:r>
    </w:p>
    <w:p w14:paraId="00000069" w14:textId="41A089C0" w:rsidR="00165A52" w:rsidRDefault="00B02078" w:rsidP="009E6967">
      <w:pPr>
        <w:spacing w:line="480" w:lineRule="auto"/>
      </w:pPr>
      <w:r>
        <w:lastRenderedPageBreak/>
        <w:t>The salience of mission may also reflect the very nature and perception of competition among nonprofits. As Sharp (2018, p. 783) observes, “First, the nonprofit exhibits an apparent disconnect between material practices, which are characterized by engagement in competitive funding and marketplace scenarios, while presenting, at the symbolic level, claims that competition does not exist.”</w:t>
      </w:r>
      <w:r w:rsidR="00FA43D2">
        <w:t xml:space="preserve"> Negatively framed messages tend to decrease donations (Jang and Chu, 2022). Nonprofit stakeholders tend to view competition in a negative light (Curley et al., 2021), and this dissonance appears to hold </w:t>
      </w:r>
      <w:r w:rsidR="00FA43D2">
        <w:rPr>
          <w:i/>
          <w:iCs/>
        </w:rPr>
        <w:t>even while engaged in direct competition</w:t>
      </w:r>
      <w:r>
        <w:t xml:space="preserve"> We see this reflected in the fact that gamification framing was negatively related, but the interaction of philanthropy and gamification messaging ends up attracting new dollars. Nonprofits will have to continue grappling with this dissonance as they continue competing – implicitly and explicitly – with each other for donations.</w:t>
      </w:r>
    </w:p>
    <w:p w14:paraId="0000006A" w14:textId="77777777" w:rsidR="00165A52" w:rsidRDefault="00B02078" w:rsidP="009E6967">
      <w:pPr>
        <w:spacing w:line="480" w:lineRule="auto"/>
      </w:pPr>
      <w:r>
        <w:t xml:space="preserve">Our finding that organizational variables were not significant may show how social media can serve as an equalizer for resource acquisition. Bhati and McDonnell (2020) find similar results, demonstrating a similar return on social media across budget size. These findings are in line with </w:t>
      </w:r>
      <w:proofErr w:type="spellStart"/>
      <w:r>
        <w:t>Amtzis</w:t>
      </w:r>
      <w:proofErr w:type="spellEnd"/>
      <w:r>
        <w:t xml:space="preserve"> (2014), who found that social media, crowd voting, and crowdfunding increase opportunities for public participation and influence. </w:t>
      </w:r>
    </w:p>
    <w:p w14:paraId="0000006C" w14:textId="351996B8" w:rsidR="00165A52" w:rsidRDefault="00B02078" w:rsidP="009E6967">
      <w:pPr>
        <w:spacing w:line="480" w:lineRule="auto"/>
      </w:pPr>
      <w:r>
        <w:t xml:space="preserve">These findings allude to the </w:t>
      </w:r>
      <w:r w:rsidR="005612A9">
        <w:t>situational effects</w:t>
      </w:r>
      <w:r>
        <w:t xml:space="preserve"> </w:t>
      </w:r>
      <w:r w:rsidR="005612A9">
        <w:t>impacting</w:t>
      </w:r>
      <w:r>
        <w:t xml:space="preserve"> social media success at the organizational level. Simply having an account is enough to increase donation</w:t>
      </w:r>
      <w:r w:rsidR="005612A9">
        <w:t>s.</w:t>
      </w:r>
      <w:r>
        <w:t xml:space="preserve"> </w:t>
      </w:r>
      <w:r w:rsidR="005612A9">
        <w:t xml:space="preserve">However, </w:t>
      </w:r>
      <w:r>
        <w:t>to be more successful organizations need to cultivate an intentional and strategic approach to social media usage that responds to the dynamics of their fundraising platform and accounts for the effect of the context in which funds are being raised. For example, donors appear to dislike messages related to gamification and competition</w:t>
      </w:r>
      <w:r w:rsidR="005612A9">
        <w:t xml:space="preserve"> even when they are supporting an organization </w:t>
      </w:r>
      <w:r w:rsidR="005612A9">
        <w:lastRenderedPageBreak/>
        <w:t>engaged in a fundraising competition</w:t>
      </w:r>
      <w:r>
        <w:t>. Nonprofits engaged in competitive philanthropy will need to frame their messages to overcome this cognitive dissonance.</w:t>
      </w:r>
    </w:p>
    <w:p w14:paraId="0000006D" w14:textId="4FB0A9EE" w:rsidR="00165A52" w:rsidRDefault="00B02078" w:rsidP="009E6967">
      <w:pPr>
        <w:pStyle w:val="Heading1"/>
        <w:spacing w:line="480" w:lineRule="auto"/>
        <w:ind w:left="0" w:firstLine="0"/>
      </w:pPr>
      <w:r>
        <w:t>Limitations</w:t>
      </w:r>
    </w:p>
    <w:p w14:paraId="0000006E" w14:textId="77777777" w:rsidR="00165A52" w:rsidRDefault="00B02078" w:rsidP="009E6967">
      <w:pPr>
        <w:spacing w:line="480" w:lineRule="auto"/>
      </w:pPr>
      <w:r>
        <w:t xml:space="preserve">In this particular study, one of our primary limitations is that we cannot direct link exposure of a donor to a tweet. This means that our analysis here is correlative and not causal. In other words, we could not ascertain for certain if a given tweet led directly to a donation. However, it is reasonably assumed that donations within a given time frame are likely to have been motivated by social media messaging and timing. </w:t>
      </w:r>
    </w:p>
    <w:p w14:paraId="0000006F" w14:textId="54CE8291" w:rsidR="00165A52" w:rsidRDefault="00B02078" w:rsidP="009E6967">
      <w:pPr>
        <w:pBdr>
          <w:top w:val="nil"/>
          <w:left w:val="nil"/>
          <w:bottom w:val="nil"/>
          <w:right w:val="nil"/>
          <w:between w:val="nil"/>
        </w:pBdr>
        <w:spacing w:line="480" w:lineRule="auto"/>
        <w:ind w:firstLine="560"/>
        <w:rPr>
          <w:color w:val="000000"/>
        </w:rPr>
      </w:pPr>
      <w:r>
        <w:rPr>
          <w:color w:val="000000"/>
        </w:rPr>
        <w:t xml:space="preserve">Another limitation is the measure of active publics. First time donors represent a shift to an active public because they had not previously engaged with the organization with monetary support. We know from a separate donor survey that 39% of approximately 4200 Brackets </w:t>
      </w:r>
      <w:r w:rsidR="003A2B80">
        <w:rPr>
          <w:color w:val="000000"/>
        </w:rPr>
        <w:t>for</w:t>
      </w:r>
      <w:r>
        <w:rPr>
          <w:color w:val="000000"/>
        </w:rPr>
        <w:t xml:space="preserve"> Good donors were first-time donors. However, since that survey was done at the individual level and not linked to organizations, we cannot associate these donors directly with specific organizations and therefore we are unable to use this measure as a dependent variable in our models.</w:t>
      </w:r>
    </w:p>
    <w:p w14:paraId="59401E18" w14:textId="31B7D8ED" w:rsidR="00AA6DEE" w:rsidRDefault="00AA6DEE" w:rsidP="009E6967">
      <w:pPr>
        <w:spacing w:line="480" w:lineRule="auto"/>
      </w:pPr>
      <w:r>
        <w:t>W</w:t>
      </w:r>
      <w:r w:rsidR="00B02078">
        <w:t xml:space="preserve">hile we were able to identify tweet information for our organizations based on key hashtags and demonstrated usage of Brackets for Good language, it is possible that we have missed some of the organization’s Twitter or other social media usage. However, the goal of this </w:t>
      </w:r>
      <w:r w:rsidR="00115072">
        <w:t xml:space="preserve">study </w:t>
      </w:r>
      <w:r w:rsidR="00B02078">
        <w:t xml:space="preserve">is to explore how engagement with the social media platform and the Brackets for Good tournament may have led to increasing donations. This means that if we were unable to find social media usage through our robust approach it is likely that the engagement did not reach new audiences or the </w:t>
      </w:r>
      <w:r>
        <w:t>B</w:t>
      </w:r>
      <w:r w:rsidR="00B02078">
        <w:t xml:space="preserve">rackets for </w:t>
      </w:r>
      <w:r>
        <w:t>G</w:t>
      </w:r>
      <w:r w:rsidR="00B02078">
        <w:t>ood following.</w:t>
      </w:r>
      <w:r w:rsidR="00F80F37">
        <w:t xml:space="preserve"> In addition, we only focus on total dollars raised. Tweeting may have yielded other benefits, such as media attention, increased social </w:t>
      </w:r>
      <w:r w:rsidR="00F80F37">
        <w:lastRenderedPageBreak/>
        <w:t>media activity from donors to others in their own circles, and other outcomes that may indirectly lead to increased fundraising.</w:t>
      </w:r>
      <w:r w:rsidR="00B02078">
        <w:t xml:space="preserve"> In this case, our analysis likely underrepresents the importance of intentional and appropriate social media strategies for the fundraising platform. </w:t>
      </w:r>
    </w:p>
    <w:p w14:paraId="00000071" w14:textId="30416EB0" w:rsidR="00165A52" w:rsidRDefault="00B02078" w:rsidP="009E6967">
      <w:pPr>
        <w:pStyle w:val="Heading1"/>
        <w:spacing w:line="480" w:lineRule="auto"/>
        <w:ind w:left="0" w:firstLine="0"/>
      </w:pPr>
      <w:r>
        <w:t>Conclusion</w:t>
      </w:r>
    </w:p>
    <w:p w14:paraId="00000073" w14:textId="7509CBE5" w:rsidR="00165A52" w:rsidRPr="009E6967" w:rsidRDefault="00B02078" w:rsidP="009E6967">
      <w:pPr>
        <w:spacing w:line="480" w:lineRule="auto"/>
      </w:pPr>
      <w:r>
        <w:t xml:space="preserve">Previous research has shown that social media matters for online fundraising. Our study identifies a mechanism for this by demonstrating how organizations can use social media to create two-way dialogic loops and motivate active publics. In a competitive environment, where donors should be primed to help </w:t>
      </w:r>
      <w:r w:rsidR="005612A9">
        <w:t xml:space="preserve">an </w:t>
      </w:r>
      <w:r>
        <w:t>organization compete but also do not like competition, placing an emphasis on philanthropic or altruistic intentions appears to have the most success at procuring</w:t>
      </w:r>
      <w:r>
        <w:rPr>
          <w:rFonts w:ascii="Gill Sans" w:eastAsia="Gill Sans" w:hAnsi="Gill Sans" w:cs="Gill Sans"/>
          <w:sz w:val="33"/>
          <w:szCs w:val="33"/>
          <w:vertAlign w:val="superscript"/>
        </w:rPr>
        <w:t xml:space="preserve"> </w:t>
      </w:r>
      <w:r>
        <w:t xml:space="preserve">donations. Organizations that doubled down on the competitive and monetary nature of the tournament were able to successfully raise funds but at a lesser rate than those that found ways to promote their mission in fun and innovative ways. This means that while we may understand the roles and benefits of social media in philanthropy, we have to be willing to modify and adapt it under different fundraising circumstances. </w:t>
      </w:r>
    </w:p>
    <w:p w14:paraId="00000075" w14:textId="13DFFB31" w:rsidR="00165A52" w:rsidRDefault="00B02078" w:rsidP="009E6967">
      <w:pPr>
        <w:pStyle w:val="Heading1"/>
        <w:spacing w:line="480" w:lineRule="auto"/>
        <w:ind w:left="0" w:firstLine="0"/>
      </w:pPr>
      <w:r>
        <w:t>Note</w:t>
      </w:r>
    </w:p>
    <w:p w14:paraId="00000077" w14:textId="12B448F7" w:rsidR="00165A52" w:rsidRDefault="00434452" w:rsidP="009E6967">
      <w:pPr>
        <w:spacing w:line="480" w:lineRule="auto"/>
        <w:ind w:firstLine="0"/>
      </w:pPr>
      <w:r>
        <w:rPr>
          <w:vertAlign w:val="superscript"/>
        </w:rPr>
        <w:t>1</w:t>
      </w:r>
      <w:r w:rsidR="00B02078">
        <w:t>Twitter’s owner changed the name of the application in 2023</w:t>
      </w:r>
      <w:r w:rsidR="007C2794">
        <w:t xml:space="preserve"> to X</w:t>
      </w:r>
      <w:r w:rsidR="00B02078">
        <w:t xml:space="preserve">. Because our study predates this change, we use Twitter throughout this article to refer to the microblogging site. </w:t>
      </w:r>
    </w:p>
    <w:p w14:paraId="00000078" w14:textId="53104CFC" w:rsidR="00165A52" w:rsidRDefault="00B02078" w:rsidP="009E6967">
      <w:pPr>
        <w:pStyle w:val="Heading1"/>
        <w:spacing w:line="480" w:lineRule="auto"/>
        <w:ind w:left="0" w:firstLine="0"/>
      </w:pPr>
      <w:r>
        <w:t>References</w:t>
      </w:r>
    </w:p>
    <w:p w14:paraId="00000079" w14:textId="2262BC19" w:rsidR="00165A52" w:rsidRDefault="00B02078" w:rsidP="009E6967">
      <w:pPr>
        <w:spacing w:line="480" w:lineRule="auto"/>
        <w:ind w:left="720" w:hanging="720"/>
        <w:rPr>
          <w:sz w:val="36"/>
          <w:szCs w:val="36"/>
          <w:vertAlign w:val="superscript"/>
        </w:rPr>
      </w:pPr>
      <w:proofErr w:type="spellStart"/>
      <w:r>
        <w:t>Abeza</w:t>
      </w:r>
      <w:proofErr w:type="spellEnd"/>
      <w:r>
        <w:t>, G., &amp; O’Reilly, N. (2014). Social Media Platforms’ Use in Building Stakeholder</w:t>
      </w:r>
      <w:r w:rsidR="007C2794">
        <w:t xml:space="preserve"> </w:t>
      </w:r>
      <w:r>
        <w:t>Relationships. Journal of Applied Sport Management, 6(3), 102–126.</w:t>
      </w:r>
      <w:r w:rsidR="007C2794">
        <w:t xml:space="preserve"> </w:t>
      </w:r>
      <w:r>
        <w:rPr>
          <w:noProof/>
        </w:rPr>
        <mc:AlternateContent>
          <mc:Choice Requires="wps">
            <w:drawing>
              <wp:anchor distT="0" distB="0" distL="114300" distR="114300" simplePos="0" relativeHeight="251666432" behindDoc="1" locked="0" layoutInCell="1" hidden="0" allowOverlap="1" wp14:anchorId="573A36D4" wp14:editId="40D6BE8F">
                <wp:simplePos x="0" y="0"/>
                <wp:positionH relativeFrom="column">
                  <wp:posOffset>2641600</wp:posOffset>
                </wp:positionH>
                <wp:positionV relativeFrom="paragraph">
                  <wp:posOffset>12700</wp:posOffset>
                </wp:positionV>
                <wp:extent cx="2439035" cy="184785"/>
                <wp:effectExtent l="0" t="0" r="0" b="0"/>
                <wp:wrapNone/>
                <wp:docPr id="2132378615" name="Freeform: Shape 2132378615"/>
                <wp:cNvGraphicFramePr/>
                <a:graphic xmlns:a="http://schemas.openxmlformats.org/drawingml/2006/main">
                  <a:graphicData uri="http://schemas.microsoft.com/office/word/2010/wordprocessingShape">
                    <wps:wsp>
                      <wps:cNvSpPr/>
                      <wps:spPr>
                        <a:xfrm>
                          <a:off x="5045645" y="3692370"/>
                          <a:ext cx="2429510" cy="175260"/>
                        </a:xfrm>
                        <a:custGeom>
                          <a:avLst/>
                          <a:gdLst/>
                          <a:ahLst/>
                          <a:cxnLst/>
                          <a:rect l="l" t="t" r="r" b="b"/>
                          <a:pathLst>
                            <a:path w="2429510" h="175260" extrusionOk="0">
                              <a:moveTo>
                                <a:pt x="1917255" y="0"/>
                              </a:moveTo>
                              <a:lnTo>
                                <a:pt x="1917255" y="0"/>
                              </a:lnTo>
                              <a:lnTo>
                                <a:pt x="0" y="0"/>
                              </a:lnTo>
                              <a:lnTo>
                                <a:pt x="0" y="175247"/>
                              </a:lnTo>
                              <a:lnTo>
                                <a:pt x="1917255" y="175247"/>
                              </a:lnTo>
                              <a:lnTo>
                                <a:pt x="1917255" y="0"/>
                              </a:lnTo>
                              <a:close/>
                            </a:path>
                            <a:path w="2429510" h="175260" extrusionOk="0">
                              <a:moveTo>
                                <a:pt x="2429446" y="0"/>
                              </a:moveTo>
                              <a:lnTo>
                                <a:pt x="1955368" y="0"/>
                              </a:lnTo>
                              <a:lnTo>
                                <a:pt x="1917268" y="0"/>
                              </a:lnTo>
                              <a:lnTo>
                                <a:pt x="1917268" y="175247"/>
                              </a:lnTo>
                              <a:lnTo>
                                <a:pt x="1955368" y="175247"/>
                              </a:lnTo>
                              <a:lnTo>
                                <a:pt x="2429446" y="175247"/>
                              </a:lnTo>
                              <a:lnTo>
                                <a:pt x="2429446"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B5164C" id="Freeform: Shape 2132378615" o:spid="_x0000_s1026" style="position:absolute;margin-left:208pt;margin-top:1pt;width:192.05pt;height:14.5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242951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" path="m1917255,r,l,,,175247r1917255,l1917255,xem2429446,l1955368,r-38100,l1917268,175247r38100,l2429446,175247,2429446,xe" stroked="f">
                <v:path arrowok="t" o:extrusionok="f"/>
              </v:shape>
            </w:pict>
          </mc:Fallback>
        </mc:AlternateContent>
      </w:r>
    </w:p>
    <w:p w14:paraId="0000007A" w14:textId="3B02BC0A" w:rsidR="00165A52" w:rsidRDefault="00B02078" w:rsidP="009E6967">
      <w:pPr>
        <w:spacing w:line="480" w:lineRule="auto"/>
        <w:ind w:left="720" w:hanging="720"/>
      </w:pPr>
      <w:r>
        <w:lastRenderedPageBreak/>
        <w:t>Alexiou, K., Wiggins, J., &amp; Preece, S. B. (2020). Crowdfunding acts as a funding substitute and</w:t>
      </w:r>
      <w:r w:rsidR="007C2794">
        <w:t xml:space="preserve"> </w:t>
      </w:r>
      <w:r>
        <w:t xml:space="preserve">a legitimating signal for nonprofit performing arts organizations. </w:t>
      </w:r>
      <w:r>
        <w:rPr>
          <w:i/>
        </w:rPr>
        <w:t>Nonprofit and</w:t>
      </w:r>
      <w:r w:rsidR="007C2794">
        <w:rPr>
          <w:i/>
        </w:rPr>
        <w:t xml:space="preserve"> </w:t>
      </w:r>
      <w:r>
        <w:t>Voluntary Sector Quarterly, 49(4), 827-848.</w:t>
      </w:r>
      <w:r w:rsidR="007C2794">
        <w:t xml:space="preserve"> </w:t>
      </w:r>
      <w:r>
        <w:rPr>
          <w:noProof/>
        </w:rPr>
        <mc:AlternateContent>
          <mc:Choice Requires="wps">
            <w:drawing>
              <wp:anchor distT="0" distB="0" distL="114300" distR="114300" simplePos="0" relativeHeight="251668480" behindDoc="1" locked="0" layoutInCell="1" hidden="0" allowOverlap="1" wp14:anchorId="49651AA0" wp14:editId="72F49F06">
                <wp:simplePos x="0" y="0"/>
                <wp:positionH relativeFrom="column">
                  <wp:posOffset>2717800</wp:posOffset>
                </wp:positionH>
                <wp:positionV relativeFrom="paragraph">
                  <wp:posOffset>165100</wp:posOffset>
                </wp:positionV>
                <wp:extent cx="555625" cy="184785"/>
                <wp:effectExtent l="0" t="0" r="0" b="0"/>
                <wp:wrapNone/>
                <wp:docPr id="2132378591" name="Freeform: Shape 2132378591"/>
                <wp:cNvGraphicFramePr/>
                <a:graphic xmlns:a="http://schemas.openxmlformats.org/drawingml/2006/main">
                  <a:graphicData uri="http://schemas.microsoft.com/office/word/2010/wordprocessingShape">
                    <wps:wsp>
                      <wps:cNvSpPr/>
                      <wps:spPr>
                        <a:xfrm>
                          <a:off x="5987350" y="3692370"/>
                          <a:ext cx="546100" cy="175260"/>
                        </a:xfrm>
                        <a:custGeom>
                          <a:avLst/>
                          <a:gdLst/>
                          <a:ahLst/>
                          <a:cxnLst/>
                          <a:rect l="l" t="t" r="r" b="b"/>
                          <a:pathLst>
                            <a:path w="546100" h="175260" extrusionOk="0">
                              <a:moveTo>
                                <a:pt x="546049" y="175247"/>
                              </a:moveTo>
                              <a:lnTo>
                                <a:pt x="0" y="175247"/>
                              </a:lnTo>
                              <a:lnTo>
                                <a:pt x="0" y="0"/>
                              </a:lnTo>
                              <a:lnTo>
                                <a:pt x="546049" y="0"/>
                              </a:lnTo>
                              <a:lnTo>
                                <a:pt x="546049" y="17524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CCAC89" id="Freeform: Shape 2132378591" o:spid="_x0000_s1026" style="position:absolute;margin-left:214pt;margin-top:13pt;width:43.75pt;height:14.55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546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" path="m546049,175247l,175247,,,546049,r,175247xe" stroked="f">
                <v:path arrowok="t" o:extrusionok="f"/>
              </v:shape>
            </w:pict>
          </mc:Fallback>
        </mc:AlternateContent>
      </w:r>
      <w:r>
        <w:rPr>
          <w:noProof/>
        </w:rPr>
        <mc:AlternateContent>
          <mc:Choice Requires="wpg">
            <w:drawing>
              <wp:anchor distT="0" distB="0" distL="114300" distR="114300" simplePos="0" relativeHeight="251669504" behindDoc="1" locked="0" layoutInCell="1" hidden="0" allowOverlap="1" wp14:anchorId="1897B07E" wp14:editId="0E5A9357">
                <wp:simplePos x="0" y="0"/>
                <wp:positionH relativeFrom="column">
                  <wp:posOffset>2667000</wp:posOffset>
                </wp:positionH>
                <wp:positionV relativeFrom="paragraph">
                  <wp:posOffset>50800</wp:posOffset>
                </wp:positionV>
                <wp:extent cx="2481580" cy="184785"/>
                <wp:effectExtent l="0" t="0" r="0" b="0"/>
                <wp:wrapNone/>
                <wp:docPr id="2132378599" name="Freeform: Shape 2132378599"/>
                <wp:cNvGraphicFramePr/>
                <a:graphic xmlns:a="http://schemas.openxmlformats.org/drawingml/2006/main">
                  <a:graphicData uri="http://schemas.microsoft.com/office/word/2010/wordprocessingShape">
                    <wps:wsp>
                      <wps:cNvSpPr/>
                      <wps:spPr>
                        <a:xfrm>
                          <a:off x="5024373" y="3692370"/>
                          <a:ext cx="2472055" cy="175260"/>
                        </a:xfrm>
                        <a:custGeom>
                          <a:avLst/>
                          <a:gdLst/>
                          <a:ahLst/>
                          <a:cxnLst/>
                          <a:rect l="l" t="t" r="r" b="b"/>
                          <a:pathLst>
                            <a:path w="2472055" h="175260" extrusionOk="0">
                              <a:moveTo>
                                <a:pt x="2471788" y="0"/>
                              </a:moveTo>
                              <a:lnTo>
                                <a:pt x="2471788" y="0"/>
                              </a:lnTo>
                              <a:lnTo>
                                <a:pt x="0" y="0"/>
                              </a:lnTo>
                              <a:lnTo>
                                <a:pt x="0" y="175247"/>
                              </a:lnTo>
                              <a:lnTo>
                                <a:pt x="2471788" y="175247"/>
                              </a:lnTo>
                              <a:lnTo>
                                <a:pt x="2471788"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1" distB="0" distT="0" distL="114300" distR="114300" hidden="0" layoutInCell="1" locked="0" relativeHeight="0" simplePos="0">
                <wp:simplePos x="0" y="0"/>
                <wp:positionH relativeFrom="column">
                  <wp:posOffset>2667000</wp:posOffset>
                </wp:positionH>
                <wp:positionV relativeFrom="paragraph">
                  <wp:posOffset>50800</wp:posOffset>
                </wp:positionV>
                <wp:extent cx="2481580" cy="184785"/>
                <wp:effectExtent b="0" l="0" r="0" t="0"/>
                <wp:wrapNone/>
                <wp:docPr id="2132378599"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2481580" cy="184785"/>
                        </a:xfrm>
                        <a:prstGeom prst="rect"/>
                        <a:ln/>
                      </pic:spPr>
                    </pic:pic>
                  </a:graphicData>
                </a:graphic>
              </wp:anchor>
            </w:drawing>
          </mc:Fallback>
        </mc:AlternateContent>
      </w:r>
    </w:p>
    <w:p w14:paraId="0000007B" w14:textId="66AAD356" w:rsidR="00165A52" w:rsidRDefault="00B02078" w:rsidP="009E6967">
      <w:pPr>
        <w:spacing w:line="480" w:lineRule="auto"/>
        <w:ind w:left="720" w:hanging="720"/>
      </w:pPr>
      <w:proofErr w:type="spellStart"/>
      <w:r>
        <w:t>Amtzis</w:t>
      </w:r>
      <w:proofErr w:type="spellEnd"/>
      <w:r>
        <w:t>, R. (2014). Crowdsourcing from the Ground Up: How a New Generation of Nepali</w:t>
      </w:r>
      <w:r w:rsidR="007C2794">
        <w:t xml:space="preserve"> </w:t>
      </w:r>
      <w:r>
        <w:t xml:space="preserve">Nonprofits Uses Social Media to Successfully Promote its Initiatives. </w:t>
      </w:r>
      <w:r>
        <w:rPr>
          <w:i/>
        </w:rPr>
        <w:t>Journal of Creative</w:t>
      </w:r>
      <w:r w:rsidR="007C2794">
        <w:rPr>
          <w:i/>
        </w:rPr>
        <w:t xml:space="preserve"> </w:t>
      </w:r>
      <w:r>
        <w:rPr>
          <w:i/>
        </w:rPr>
        <w:t>Communications</w:t>
      </w:r>
      <w:r>
        <w:t xml:space="preserve">, </w:t>
      </w:r>
      <w:r>
        <w:rPr>
          <w:i/>
        </w:rPr>
        <w:t>9</w:t>
      </w:r>
      <w:r>
        <w:t>(2), 127–146. https://doi.org/10.1177/0973258614528609</w:t>
      </w:r>
      <w:r w:rsidR="007C2794">
        <w:t xml:space="preserve"> </w:t>
      </w:r>
    </w:p>
    <w:p w14:paraId="0000007C" w14:textId="2D85AFC1" w:rsidR="00165A52" w:rsidRDefault="00B02078" w:rsidP="009E6967">
      <w:pPr>
        <w:spacing w:line="480" w:lineRule="auto"/>
        <w:ind w:left="720" w:hanging="720"/>
        <w:rPr>
          <w:sz w:val="36"/>
          <w:szCs w:val="36"/>
          <w:vertAlign w:val="superscript"/>
        </w:rPr>
      </w:pPr>
      <w:r>
        <w:t>Andreoni, J. (1990). Impure Altruism and Donations to Public Goods: A Theory of Warm-Glow</w:t>
      </w:r>
      <w:r w:rsidR="007C2794">
        <w:t xml:space="preserve"> </w:t>
      </w:r>
      <w:r>
        <w:t xml:space="preserve">Giving. </w:t>
      </w:r>
      <w:r>
        <w:rPr>
          <w:i/>
        </w:rPr>
        <w:t>The Economic Journal</w:t>
      </w:r>
      <w:r>
        <w:t xml:space="preserve">, </w:t>
      </w:r>
      <w:r>
        <w:rPr>
          <w:i/>
        </w:rPr>
        <w:t>100</w:t>
      </w:r>
      <w:r>
        <w:t>(401), 464–477.</w:t>
      </w:r>
      <w:r w:rsidR="007C2794">
        <w:t xml:space="preserve"> </w:t>
      </w:r>
    </w:p>
    <w:p w14:paraId="0000007D" w14:textId="2CA34C81" w:rsidR="00165A52" w:rsidRDefault="00B02078" w:rsidP="009E6967">
      <w:pPr>
        <w:spacing w:line="480" w:lineRule="auto"/>
        <w:ind w:left="720" w:hanging="720"/>
        <w:rPr>
          <w:sz w:val="36"/>
          <w:szCs w:val="36"/>
          <w:vertAlign w:val="superscript"/>
        </w:rPr>
      </w:pPr>
      <w:r>
        <w:t xml:space="preserve">Ashley, S., &amp; Faulk, L. (2010). Nonprofit competition in the grants marketplace. </w:t>
      </w:r>
      <w:r>
        <w:rPr>
          <w:i/>
        </w:rPr>
        <w:t>Nonprofit</w:t>
      </w:r>
      <w:r w:rsidR="007C2794">
        <w:rPr>
          <w:i/>
        </w:rPr>
        <w:t xml:space="preserve"> </w:t>
      </w:r>
      <w:r>
        <w:rPr>
          <w:i/>
        </w:rPr>
        <w:t>Management and Leadership</w:t>
      </w:r>
      <w:r>
        <w:t xml:space="preserve">, </w:t>
      </w:r>
      <w:r>
        <w:rPr>
          <w:i/>
        </w:rPr>
        <w:t>21</w:t>
      </w:r>
      <w:r>
        <w:t>(1), 43–57. https://doi.org/10.1002/nml.20011</w:t>
      </w:r>
      <w:r w:rsidR="007C2794">
        <w:t xml:space="preserve"> </w:t>
      </w:r>
    </w:p>
    <w:p w14:paraId="0000007E" w14:textId="7CB43B47" w:rsidR="00165A52" w:rsidRDefault="00B02078" w:rsidP="009E6967">
      <w:pPr>
        <w:spacing w:line="480" w:lineRule="auto"/>
        <w:ind w:left="720" w:hanging="720"/>
        <w:rPr>
          <w:sz w:val="36"/>
          <w:szCs w:val="36"/>
          <w:vertAlign w:val="superscript"/>
        </w:rPr>
      </w:pPr>
      <w:proofErr w:type="spellStart"/>
      <w:r>
        <w:t>Belleflamme</w:t>
      </w:r>
      <w:proofErr w:type="spellEnd"/>
      <w:r>
        <w:t xml:space="preserve">, P., Lambert, T., &amp; </w:t>
      </w:r>
      <w:proofErr w:type="spellStart"/>
      <w:r>
        <w:t>Schwienbacher</w:t>
      </w:r>
      <w:proofErr w:type="spellEnd"/>
      <w:r>
        <w:t>, A. (2014). Crowdfunding: Tapping the right</w:t>
      </w:r>
      <w:r w:rsidR="007C2794">
        <w:t xml:space="preserve"> </w:t>
      </w:r>
      <w:r>
        <w:t>crowd. Journal of Business Venturing, 29(5), 585–609.</w:t>
      </w:r>
      <w:r w:rsidR="007C2794">
        <w:t xml:space="preserve"> </w:t>
      </w:r>
      <w:r>
        <w:t>https://doi.org/10.1016/j.jbusvent.2013.07.003</w:t>
      </w:r>
      <w:r w:rsidR="007C2794">
        <w:t xml:space="preserve"> </w:t>
      </w:r>
    </w:p>
    <w:p w14:paraId="0000007F" w14:textId="29530D87" w:rsidR="00165A52" w:rsidRDefault="00B02078" w:rsidP="009E6967">
      <w:pPr>
        <w:spacing w:line="480" w:lineRule="auto"/>
        <w:ind w:left="720" w:hanging="720"/>
      </w:pPr>
      <w:r>
        <w:t>Berger, P. L., &amp; Neuhaus, R. John. (1977). To empower people: The role of mediating structures</w:t>
      </w:r>
      <w:r w:rsidR="007C2794">
        <w:t xml:space="preserve"> </w:t>
      </w:r>
      <w:r>
        <w:rPr>
          <w:i/>
        </w:rPr>
        <w:t>in public policy</w:t>
      </w:r>
      <w:r>
        <w:t>. American Enterprise Institute for Public Policy Research.</w:t>
      </w:r>
      <w:r w:rsidR="007C2794">
        <w:t xml:space="preserve"> </w:t>
      </w:r>
    </w:p>
    <w:p w14:paraId="00000080" w14:textId="5D0DA809" w:rsidR="00165A52" w:rsidRDefault="00B02078" w:rsidP="009E6967">
      <w:pPr>
        <w:spacing w:line="480" w:lineRule="auto"/>
        <w:ind w:left="720" w:hanging="720"/>
        <w:rPr>
          <w:sz w:val="36"/>
          <w:szCs w:val="36"/>
          <w:vertAlign w:val="subscript"/>
        </w:rPr>
      </w:pPr>
      <w:r>
        <w:t>Bernhardt, J. M., Mays, D., &amp; Hall, A. K. (2012). Social marketing at the right place and right</w:t>
      </w:r>
      <w:r w:rsidR="007C2794">
        <w:t xml:space="preserve"> </w:t>
      </w:r>
      <w:r>
        <w:t xml:space="preserve">time with new media. </w:t>
      </w:r>
      <w:r>
        <w:rPr>
          <w:i/>
        </w:rPr>
        <w:t>Journal of Social Marketing</w:t>
      </w:r>
      <w:r>
        <w:t xml:space="preserve">, </w:t>
      </w:r>
      <w:r>
        <w:rPr>
          <w:i/>
        </w:rPr>
        <w:t>2</w:t>
      </w:r>
      <w:r>
        <w:t>(2), 130–137.</w:t>
      </w:r>
      <w:r w:rsidR="007C2794">
        <w:t xml:space="preserve"> </w:t>
      </w:r>
      <w:r>
        <w:t>https://doi.org/10.1108/20426761211243964</w:t>
      </w:r>
      <w:r w:rsidR="007C2794">
        <w:t xml:space="preserve"> </w:t>
      </w:r>
    </w:p>
    <w:p w14:paraId="00000081" w14:textId="723ABBE5" w:rsidR="00165A52" w:rsidRDefault="00B02078" w:rsidP="009E6967">
      <w:pPr>
        <w:spacing w:line="480" w:lineRule="auto"/>
        <w:ind w:left="720" w:hanging="720"/>
        <w:rPr>
          <w:sz w:val="36"/>
          <w:szCs w:val="36"/>
          <w:vertAlign w:val="superscript"/>
        </w:rPr>
      </w:pPr>
      <w:r>
        <w:t xml:space="preserve">Bhati, A., &amp; </w:t>
      </w:r>
      <w:proofErr w:type="spellStart"/>
      <w:r>
        <w:t>Mcdonnell</w:t>
      </w:r>
      <w:proofErr w:type="spellEnd"/>
      <w:r>
        <w:t>, D. (2020). Success in an Online Giving Day: The Role of Social Media</w:t>
      </w:r>
      <w:r w:rsidR="007C2794">
        <w:t xml:space="preserve"> </w:t>
      </w:r>
      <w:r>
        <w:t>in Fundraising. Nonprofit and Voluntary Sector Quarterly, 49(1), 74–92.</w:t>
      </w:r>
      <w:r w:rsidR="007C2794">
        <w:t xml:space="preserve"> </w:t>
      </w:r>
      <w:r>
        <w:t>https://doi.org/10.1177/0899764019868849</w:t>
      </w:r>
      <w:r w:rsidR="007C2794">
        <w:t xml:space="preserve"> </w:t>
      </w:r>
    </w:p>
    <w:p w14:paraId="00000082" w14:textId="37953CA1" w:rsidR="00165A52" w:rsidRDefault="00B02078" w:rsidP="009E6967">
      <w:pPr>
        <w:spacing w:line="480" w:lineRule="auto"/>
        <w:ind w:left="720" w:hanging="720"/>
      </w:pPr>
      <w:r>
        <w:t xml:space="preserve">“bfg.org”, </w:t>
      </w:r>
      <w:r>
        <w:rPr>
          <w:i/>
        </w:rPr>
        <w:t>Brackets for Good</w:t>
      </w:r>
      <w:r>
        <w:t xml:space="preserve"> (</w:t>
      </w:r>
      <w:hyperlink r:id="rId21" w:history="1">
        <w:r>
          <w:rPr>
            <w:color w:val="0000FF"/>
            <w:u w:val="single"/>
          </w:rPr>
          <w:t>www.bfg.org</w:t>
        </w:r>
      </w:hyperlink>
      <w:r>
        <w:t xml:space="preserve">); archived at </w:t>
      </w:r>
      <w:r>
        <w:rPr>
          <w:i/>
        </w:rPr>
        <w:t>Wayback Machine</w:t>
      </w:r>
      <w:r>
        <w:t xml:space="preserve"> (</w:t>
      </w:r>
      <w:hyperlink r:id="rId22" w:history="1">
        <w:r>
          <w:rPr>
            <w:color w:val="0000FF"/>
            <w:u w:val="single"/>
          </w:rPr>
          <w:t>https://web.archive.org</w:t>
        </w:r>
      </w:hyperlink>
      <w:r>
        <w:t>) &gt; 27 January 2016 &gt; citing a capture dated 24 October 2023.</w:t>
      </w:r>
    </w:p>
    <w:p w14:paraId="00000083" w14:textId="524747D0" w:rsidR="00165A52" w:rsidRDefault="00B02078" w:rsidP="009E6967">
      <w:pPr>
        <w:spacing w:line="480" w:lineRule="auto"/>
        <w:ind w:left="720" w:hanging="720"/>
        <w:rPr>
          <w:sz w:val="36"/>
          <w:szCs w:val="36"/>
          <w:vertAlign w:val="superscript"/>
        </w:rPr>
      </w:pPr>
      <w:r w:rsidRPr="004E062B">
        <w:rPr>
          <w:lang w:val="de-DE"/>
        </w:rPr>
        <w:lastRenderedPageBreak/>
        <w:t xml:space="preserve">Briones, R. L., Kuch, B., Fisher Liu, B., &amp; Jin, Y. (2010). </w:t>
      </w:r>
      <w:r>
        <w:t>Keeping up with the digital age: How</w:t>
      </w:r>
      <w:r w:rsidR="007C2794">
        <w:t xml:space="preserve"> </w:t>
      </w:r>
      <w:r>
        <w:t xml:space="preserve">the American Red Cross uses social media to build relationships. </w:t>
      </w:r>
      <w:r>
        <w:rPr>
          <w:i/>
        </w:rPr>
        <w:t>Public Relations</w:t>
      </w:r>
      <w:r w:rsidR="007C2794">
        <w:rPr>
          <w:i/>
        </w:rPr>
        <w:t xml:space="preserve"> </w:t>
      </w:r>
      <w:r>
        <w:rPr>
          <w:i/>
        </w:rPr>
        <w:t>Review</w:t>
      </w:r>
      <w:r>
        <w:t xml:space="preserve">, </w:t>
      </w:r>
      <w:r>
        <w:rPr>
          <w:i/>
        </w:rPr>
        <w:t>37</w:t>
      </w:r>
      <w:r>
        <w:t>, 37–43. https://doi.org/10.1016/j.pubrev.2010.12.006</w:t>
      </w:r>
      <w:r w:rsidR="007C2794">
        <w:t xml:space="preserve"> </w:t>
      </w:r>
    </w:p>
    <w:p w14:paraId="00000084" w14:textId="0C908666" w:rsidR="00165A52" w:rsidRDefault="00B02078" w:rsidP="009E6967">
      <w:pPr>
        <w:spacing w:line="480" w:lineRule="auto"/>
        <w:ind w:left="720" w:hanging="720"/>
        <w:rPr>
          <w:sz w:val="36"/>
          <w:szCs w:val="36"/>
          <w:vertAlign w:val="superscript"/>
        </w:rPr>
      </w:pPr>
      <w:r>
        <w:t xml:space="preserve">Calabrese, T. D. (2012). The Accumulation of Nonprofit Profits: A Dynamic Analysis. </w:t>
      </w:r>
      <w:r>
        <w:rPr>
          <w:i/>
        </w:rPr>
        <w:t>Nonprofit</w:t>
      </w:r>
      <w:r w:rsidR="007C2794">
        <w:rPr>
          <w:i/>
        </w:rPr>
        <w:t xml:space="preserve"> </w:t>
      </w:r>
      <w:r>
        <w:t>and Voluntary Sector Quarterly, 41(2), 300–324.</w:t>
      </w:r>
      <w:r w:rsidR="007C2794">
        <w:t xml:space="preserve"> </w:t>
      </w:r>
      <w:hyperlink r:id="rId23">
        <w:r>
          <w:rPr>
            <w:color w:val="1154CC"/>
            <w:u w:val="single"/>
          </w:rPr>
          <w:t>https://doi.org/10.1177/0899764011404080</w:t>
        </w:r>
      </w:hyperlink>
      <w:r w:rsidR="007C2794">
        <w:t xml:space="preserve"> </w:t>
      </w:r>
    </w:p>
    <w:p w14:paraId="00000085" w14:textId="0C2C4516" w:rsidR="00165A52" w:rsidRDefault="00B02078" w:rsidP="009E6967">
      <w:pPr>
        <w:spacing w:line="480" w:lineRule="auto"/>
        <w:ind w:left="720" w:hanging="720"/>
        <w:rPr>
          <w:sz w:val="36"/>
          <w:szCs w:val="36"/>
          <w:vertAlign w:val="superscript"/>
        </w:rPr>
      </w:pPr>
      <w:r>
        <w:t>Campbell, D. A., &amp; Lambright, K. T. (2020). Terms of engagement: Facebook and Twitter use</w:t>
      </w:r>
      <w:r w:rsidR="007C2794">
        <w:t xml:space="preserve"> </w:t>
      </w:r>
      <w:r>
        <w:t xml:space="preserve">among nonprofit human service organizations. </w:t>
      </w:r>
      <w:r>
        <w:rPr>
          <w:i/>
        </w:rPr>
        <w:t>Nonprofit Management and Leadership</w:t>
      </w:r>
      <w:r>
        <w:t>,</w:t>
      </w:r>
      <w:r w:rsidR="007C2794">
        <w:t xml:space="preserve"> </w:t>
      </w:r>
      <w:r>
        <w:rPr>
          <w:i/>
        </w:rPr>
        <w:t>30</w:t>
      </w:r>
      <w:r>
        <w:t>(4), 545-568.</w:t>
      </w:r>
      <w:r w:rsidR="007C2794">
        <w:t xml:space="preserve"> </w:t>
      </w:r>
    </w:p>
    <w:p w14:paraId="00000086" w14:textId="139AC7B6" w:rsidR="00165A52" w:rsidRDefault="00B02078" w:rsidP="009E6967">
      <w:pPr>
        <w:spacing w:line="480" w:lineRule="auto"/>
        <w:ind w:left="720" w:hanging="720"/>
        <w:rPr>
          <w:sz w:val="36"/>
          <w:szCs w:val="36"/>
          <w:vertAlign w:val="superscript"/>
        </w:rPr>
      </w:pPr>
      <w:r>
        <w:t>Campbell, D. A., Lambright, K. T., &amp; Wells, C. J. (2014). Looking for Friends, Fans, and</w:t>
      </w:r>
      <w:r w:rsidR="007C2794">
        <w:t xml:space="preserve"> </w:t>
      </w:r>
      <w:r>
        <w:t xml:space="preserve">Followers? Social Media Use in Public and Nonprofit Human Services. </w:t>
      </w:r>
      <w:r>
        <w:rPr>
          <w:i/>
        </w:rPr>
        <w:t>Public</w:t>
      </w:r>
      <w:r w:rsidR="007C2794">
        <w:rPr>
          <w:i/>
        </w:rPr>
        <w:t xml:space="preserve"> </w:t>
      </w:r>
      <w:r>
        <w:rPr>
          <w:i/>
        </w:rPr>
        <w:t>Administration Review</w:t>
      </w:r>
      <w:r>
        <w:t xml:space="preserve">, </w:t>
      </w:r>
      <w:r>
        <w:rPr>
          <w:i/>
        </w:rPr>
        <w:t>74</w:t>
      </w:r>
      <w:r>
        <w:t>(5), 655–663. https://doi.org/10.1111/puar.12261</w:t>
      </w:r>
      <w:r w:rsidR="007C2794">
        <w:t xml:space="preserve"> </w:t>
      </w:r>
    </w:p>
    <w:p w14:paraId="00000087" w14:textId="267274F4" w:rsidR="00165A52" w:rsidRDefault="00B02078" w:rsidP="009E6967">
      <w:pPr>
        <w:spacing w:line="480" w:lineRule="auto"/>
        <w:ind w:left="720" w:hanging="720"/>
        <w:rPr>
          <w:sz w:val="36"/>
          <w:szCs w:val="36"/>
          <w:vertAlign w:val="superscript"/>
        </w:rPr>
      </w:pPr>
      <w:r>
        <w:t>Cao, X. (2016). Framing charitable appeals: The effect of message framing and perceived</w:t>
      </w:r>
      <w:r w:rsidR="007C2794">
        <w:t xml:space="preserve"> </w:t>
      </w:r>
      <w:r>
        <w:t>susceptibility to the negative consequences of inaction on donation intention.</w:t>
      </w:r>
      <w:r w:rsidR="007C2794">
        <w:t xml:space="preserve"> </w:t>
      </w:r>
      <w:r w:rsidRPr="00434452">
        <w:rPr>
          <w:i/>
          <w:iCs/>
        </w:rPr>
        <w:t>International Journal of Nonprofit and Voluntary Sector Marketing</w:t>
      </w:r>
      <w:r>
        <w:t>, 2(</w:t>
      </w:r>
      <w:r w:rsidR="00434452">
        <w:t>1</w:t>
      </w:r>
      <w:r>
        <w:t>), 3–12.</w:t>
      </w:r>
      <w:r w:rsidR="007C2794">
        <w:t xml:space="preserve"> </w:t>
      </w:r>
      <w:r>
        <w:t>https://doi.org/10.1002/nvsm</w:t>
      </w:r>
      <w:r w:rsidR="007C2794">
        <w:t xml:space="preserve"> </w:t>
      </w:r>
    </w:p>
    <w:p w14:paraId="6EDB95A1" w14:textId="15A811DB" w:rsidR="00434452" w:rsidRDefault="00B02078" w:rsidP="009E6967">
      <w:pPr>
        <w:spacing w:line="480" w:lineRule="auto"/>
        <w:ind w:left="720" w:hanging="720"/>
      </w:pPr>
      <w:r>
        <w:t>Carboni, J. L., &amp; Maxwell, S. P. (2015). Effective Social Media Engagement for Nonprofits:</w:t>
      </w:r>
      <w:r w:rsidR="007C2794">
        <w:t xml:space="preserve"> </w:t>
      </w:r>
      <w:r>
        <w:t xml:space="preserve">What Matters? </w:t>
      </w:r>
      <w:r w:rsidRPr="00434452">
        <w:rPr>
          <w:i/>
          <w:iCs/>
        </w:rPr>
        <w:t>Journal of Public and Nonprofit Affairs</w:t>
      </w:r>
      <w:r>
        <w:t>, 1(1), 18–28.</w:t>
      </w:r>
      <w:r w:rsidR="007C2794">
        <w:t xml:space="preserve"> </w:t>
      </w:r>
      <w:hyperlink r:id="rId24" w:history="1">
        <w:r w:rsidR="00434452" w:rsidRPr="00F5481E">
          <w:rPr>
            <w:rStyle w:val="Hyperlink"/>
          </w:rPr>
          <w:t>https://doi.org/10.20899/jpna.1.1.18-28</w:t>
        </w:r>
      </w:hyperlink>
      <w:r w:rsidR="00434452">
        <w:t xml:space="preserve"> </w:t>
      </w:r>
      <w:r w:rsidR="007C2794">
        <w:t xml:space="preserve"> </w:t>
      </w:r>
    </w:p>
    <w:p w14:paraId="00000088" w14:textId="72F683BB" w:rsidR="00165A52" w:rsidRDefault="00B02078" w:rsidP="009E6967">
      <w:pPr>
        <w:spacing w:line="480" w:lineRule="auto"/>
        <w:ind w:left="720" w:hanging="720"/>
      </w:pPr>
      <w:proofErr w:type="spellStart"/>
      <w:r>
        <w:t>Chetkovich</w:t>
      </w:r>
      <w:proofErr w:type="spellEnd"/>
      <w:r>
        <w:t xml:space="preserve">, C., &amp; Frumkin, P. (2003). Balancing Margin and Mission. </w:t>
      </w:r>
      <w:r>
        <w:rPr>
          <w:i/>
        </w:rPr>
        <w:t>Administration &amp;</w:t>
      </w:r>
      <w:r>
        <w:rPr>
          <w:sz w:val="36"/>
          <w:szCs w:val="36"/>
          <w:vertAlign w:val="subscript"/>
        </w:rPr>
        <w:t xml:space="preserve"> </w:t>
      </w:r>
      <w:r>
        <w:rPr>
          <w:i/>
        </w:rPr>
        <w:t>Society</w:t>
      </w:r>
      <w:r>
        <w:t xml:space="preserve">, </w:t>
      </w:r>
      <w:r>
        <w:rPr>
          <w:i/>
        </w:rPr>
        <w:t>35</w:t>
      </w:r>
      <w:r>
        <w:t xml:space="preserve">(5), 564–596. </w:t>
      </w:r>
      <w:hyperlink r:id="rId25">
        <w:r>
          <w:rPr>
            <w:color w:val="1154CC"/>
            <w:u w:val="single"/>
          </w:rPr>
          <w:t>https://doi.org/10.1177/0095399703256162</w:t>
        </w:r>
      </w:hyperlink>
      <w:r w:rsidR="007C2794">
        <w:t xml:space="preserve"> </w:t>
      </w:r>
      <w:r>
        <w:rPr>
          <w:noProof/>
        </w:rPr>
        <mc:AlternateContent>
          <mc:Choice Requires="wpg">
            <w:drawing>
              <wp:anchor distT="0" distB="0" distL="114300" distR="114300" simplePos="0" relativeHeight="251676672" behindDoc="1" locked="0" layoutInCell="1" hidden="0" allowOverlap="1" wp14:anchorId="39730E06" wp14:editId="0DEDCFF4">
                <wp:simplePos x="0" y="0"/>
                <wp:positionH relativeFrom="column">
                  <wp:posOffset>965200</wp:posOffset>
                </wp:positionH>
                <wp:positionV relativeFrom="paragraph">
                  <wp:posOffset>139700</wp:posOffset>
                </wp:positionV>
                <wp:extent cx="2515235" cy="184785"/>
                <wp:effectExtent l="0" t="0" r="0" b="0"/>
                <wp:wrapNone/>
                <wp:docPr id="2132378614" name="Freeform: Shape 2132378614"/>
                <wp:cNvGraphicFramePr/>
                <a:graphic xmlns:a="http://schemas.openxmlformats.org/drawingml/2006/main">
                  <a:graphicData uri="http://schemas.microsoft.com/office/word/2010/wordprocessingShape">
                    <wps:wsp>
                      <wps:cNvSpPr/>
                      <wps:spPr>
                        <a:xfrm>
                          <a:off x="5007545" y="3692370"/>
                          <a:ext cx="2505710" cy="175260"/>
                        </a:xfrm>
                        <a:custGeom>
                          <a:avLst/>
                          <a:gdLst/>
                          <a:ahLst/>
                          <a:cxnLst/>
                          <a:rect l="l" t="t" r="r" b="b"/>
                          <a:pathLst>
                            <a:path w="2505710" h="175260" extrusionOk="0">
                              <a:moveTo>
                                <a:pt x="681316" y="0"/>
                              </a:moveTo>
                              <a:lnTo>
                                <a:pt x="0" y="0"/>
                              </a:lnTo>
                              <a:lnTo>
                                <a:pt x="0" y="175247"/>
                              </a:lnTo>
                              <a:lnTo>
                                <a:pt x="681316" y="175247"/>
                              </a:lnTo>
                              <a:lnTo>
                                <a:pt x="681316" y="0"/>
                              </a:lnTo>
                              <a:close/>
                            </a:path>
                            <a:path w="2505710" h="175260" extrusionOk="0">
                              <a:moveTo>
                                <a:pt x="2505646" y="0"/>
                              </a:moveTo>
                              <a:lnTo>
                                <a:pt x="2505646" y="0"/>
                              </a:lnTo>
                              <a:lnTo>
                                <a:pt x="681329" y="0"/>
                              </a:lnTo>
                              <a:lnTo>
                                <a:pt x="681329" y="175247"/>
                              </a:lnTo>
                              <a:lnTo>
                                <a:pt x="2505646" y="175247"/>
                              </a:lnTo>
                              <a:lnTo>
                                <a:pt x="2505646"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1" distB="0" distT="0" distL="114300" distR="114300" hidden="0" layoutInCell="1" locked="0" relativeHeight="0" simplePos="0">
                <wp:simplePos x="0" y="0"/>
                <wp:positionH relativeFrom="column">
                  <wp:posOffset>965200</wp:posOffset>
                </wp:positionH>
                <wp:positionV relativeFrom="paragraph">
                  <wp:posOffset>139700</wp:posOffset>
                </wp:positionV>
                <wp:extent cx="2515235" cy="184785"/>
                <wp:effectExtent b="0" l="0" r="0" t="0"/>
                <wp:wrapNone/>
                <wp:docPr id="2132378614" name="image28.png"/>
                <a:graphic>
                  <a:graphicData uri="http://schemas.openxmlformats.org/drawingml/2006/picture">
                    <pic:pic>
                      <pic:nvPicPr>
                        <pic:cNvPr id="0" name="image28.png"/>
                        <pic:cNvPicPr preferRelativeResize="0"/>
                      </pic:nvPicPr>
                      <pic:blipFill>
                        <a:blip r:embed="rId29"/>
                        <a:srcRect/>
                        <a:stretch>
                          <a:fillRect/>
                        </a:stretch>
                      </pic:blipFill>
                      <pic:spPr>
                        <a:xfrm>
                          <a:off x="0" y="0"/>
                          <a:ext cx="2515235" cy="184785"/>
                        </a:xfrm>
                        <a:prstGeom prst="rect"/>
                        <a:ln/>
                      </pic:spPr>
                    </pic:pic>
                  </a:graphicData>
                </a:graphic>
              </wp:anchor>
            </w:drawing>
          </mc:Fallback>
        </mc:AlternateContent>
      </w:r>
    </w:p>
    <w:p w14:paraId="34EAB7ED" w14:textId="14907B28" w:rsidR="00601DB9" w:rsidRDefault="00B02078" w:rsidP="009E6967">
      <w:pPr>
        <w:spacing w:line="480" w:lineRule="auto"/>
        <w:ind w:left="720" w:hanging="720"/>
        <w:rPr>
          <w:sz w:val="36"/>
          <w:szCs w:val="36"/>
          <w:vertAlign w:val="superscript"/>
        </w:rPr>
      </w:pPr>
      <w:r w:rsidRPr="007C2794">
        <w:t xml:space="preserve">Chong, D., &amp; Druckman, J. N. (2007). </w:t>
      </w:r>
      <w:r>
        <w:t xml:space="preserve">Framing theory. </w:t>
      </w:r>
      <w:r>
        <w:rPr>
          <w:i/>
        </w:rPr>
        <w:t>Annual. Review of Political Science.10</w:t>
      </w:r>
      <w:r>
        <w:t>,</w:t>
      </w:r>
      <w:r w:rsidR="007C2794">
        <w:t xml:space="preserve"> </w:t>
      </w:r>
      <w:r>
        <w:t>103-126.</w:t>
      </w:r>
      <w:r w:rsidR="007C2794">
        <w:t xml:space="preserve"> </w:t>
      </w:r>
    </w:p>
    <w:p w14:paraId="00000089" w14:textId="0CE93AAD" w:rsidR="00165A52" w:rsidRDefault="00B02078" w:rsidP="009E6967">
      <w:pPr>
        <w:spacing w:line="480" w:lineRule="auto"/>
        <w:ind w:left="720" w:hanging="720"/>
        <w:rPr>
          <w:sz w:val="36"/>
          <w:szCs w:val="36"/>
          <w:vertAlign w:val="superscript"/>
        </w:rPr>
      </w:pPr>
      <w:r>
        <w:lastRenderedPageBreak/>
        <w:t>Curley, C., Levine Daniel, J., Walk, M., &amp; Harrison, N. (2021). Competition and Collaboration</w:t>
      </w:r>
      <w:r w:rsidR="007C2794">
        <w:t xml:space="preserve"> </w:t>
      </w:r>
      <w:r>
        <w:t>in the Nonprofit Sector: Identifying the Potential for Cognitive Dissonance.</w:t>
      </w:r>
      <w:r w:rsidR="007C2794">
        <w:t xml:space="preserve"> </w:t>
      </w:r>
      <w:r>
        <w:rPr>
          <w:i/>
        </w:rPr>
        <w:t>Administration and Society</w:t>
      </w:r>
      <w:r>
        <w:t>, 1–28. https://doi.org/10.1177/00953997211005834</w:t>
      </w:r>
      <w:r w:rsidR="007C2794">
        <w:t xml:space="preserve"> </w:t>
      </w:r>
    </w:p>
    <w:p w14:paraId="0000008A" w14:textId="37D579C0" w:rsidR="00165A52" w:rsidRDefault="00B02078" w:rsidP="009E6967">
      <w:pPr>
        <w:spacing w:line="480" w:lineRule="auto"/>
        <w:ind w:left="720" w:hanging="720"/>
        <w:rPr>
          <w:sz w:val="36"/>
          <w:szCs w:val="36"/>
          <w:vertAlign w:val="superscript"/>
        </w:rPr>
      </w:pPr>
      <w:r>
        <w:t>Del Mar Gálvez-Rodríguez, M., Caba-Pérez, C., &amp; López-Godoy, M. (2016). Drivers of Twitter</w:t>
      </w:r>
      <w:r w:rsidR="007C2794">
        <w:t xml:space="preserve"> </w:t>
      </w:r>
      <w:r>
        <w:t xml:space="preserve">as a strategic communication tool for non-profit organizations. </w:t>
      </w:r>
      <w:r>
        <w:rPr>
          <w:i/>
        </w:rPr>
        <w:t>Internet Research</w:t>
      </w:r>
      <w:r>
        <w:t xml:space="preserve">, </w:t>
      </w:r>
      <w:r>
        <w:rPr>
          <w:i/>
        </w:rPr>
        <w:t>26</w:t>
      </w:r>
      <w:r>
        <w:t>(5),</w:t>
      </w:r>
      <w:r w:rsidR="007C2794">
        <w:t xml:space="preserve"> </w:t>
      </w:r>
      <w:r>
        <w:t>1052–1071. https://doi.org/10.1108/IntR-07-2014-0188</w:t>
      </w:r>
      <w:r w:rsidR="007C2794">
        <w:t xml:space="preserve"> </w:t>
      </w:r>
    </w:p>
    <w:p w14:paraId="0000008B" w14:textId="3856EEEB" w:rsidR="00165A52" w:rsidRDefault="00B02078" w:rsidP="009E6967">
      <w:pPr>
        <w:spacing w:line="480" w:lineRule="auto"/>
        <w:ind w:left="720" w:hanging="720"/>
        <w:rPr>
          <w:sz w:val="36"/>
          <w:szCs w:val="36"/>
          <w:vertAlign w:val="superscript"/>
        </w:rPr>
      </w:pPr>
      <w:r>
        <w:t>Deterding, S., Dixon, D., Khaled, R., &amp; Nacke, L. (2011). From game design elements to</w:t>
      </w:r>
      <w:r w:rsidR="007C2794">
        <w:t xml:space="preserve"> </w:t>
      </w:r>
      <w:proofErr w:type="spellStart"/>
      <w:r>
        <w:t>gamefulness</w:t>
      </w:r>
      <w:proofErr w:type="spellEnd"/>
      <w:r>
        <w:t>: Defining gamification. Proceedings of the 15th International Academic</w:t>
      </w:r>
      <w:r w:rsidR="007C2794">
        <w:t xml:space="preserve"> </w:t>
      </w:r>
      <w:proofErr w:type="spellStart"/>
      <w:r>
        <w:t>MindTrek</w:t>
      </w:r>
      <w:proofErr w:type="spellEnd"/>
      <w:r>
        <w:t xml:space="preserve"> Conference on Envisioning Future Media Environments - </w:t>
      </w:r>
      <w:proofErr w:type="spellStart"/>
      <w:r>
        <w:t>MindTrek</w:t>
      </w:r>
      <w:proofErr w:type="spellEnd"/>
      <w:r>
        <w:t xml:space="preserve"> ’11, 9–11.</w:t>
      </w:r>
      <w:r w:rsidR="007C2794">
        <w:t xml:space="preserve"> </w:t>
      </w:r>
      <w:r>
        <w:t>https://doi.org/10.1145/2181037.2181040</w:t>
      </w:r>
      <w:r w:rsidR="007C2794">
        <w:t xml:space="preserve"> </w:t>
      </w:r>
    </w:p>
    <w:p w14:paraId="78E13BE8" w14:textId="5040F0BB" w:rsidR="00C21BB0" w:rsidRPr="00C21BB0" w:rsidRDefault="00C21BB0" w:rsidP="009E6967">
      <w:pPr>
        <w:spacing w:line="480" w:lineRule="auto"/>
        <w:ind w:left="720" w:hanging="720"/>
      </w:pPr>
      <w:r w:rsidRPr="00C21BB0">
        <w:rPr>
          <w:color w:val="222222"/>
          <w:shd w:val="clear" w:color="auto" w:fill="FFFFFF"/>
        </w:rPr>
        <w:t>Fielding, D., Knowles, S., &amp; Peeters, R. (2022). In search of competitive givers. </w:t>
      </w:r>
      <w:r w:rsidRPr="00C21BB0">
        <w:rPr>
          <w:i/>
          <w:iCs/>
          <w:color w:val="222222"/>
          <w:shd w:val="clear" w:color="auto" w:fill="FFFFFF"/>
        </w:rPr>
        <w:t>Southern Economic Journal</w:t>
      </w:r>
      <w:r w:rsidRPr="00C21BB0">
        <w:rPr>
          <w:color w:val="222222"/>
          <w:shd w:val="clear" w:color="auto" w:fill="FFFFFF"/>
        </w:rPr>
        <w:t>, </w:t>
      </w:r>
      <w:r w:rsidRPr="00C21BB0">
        <w:rPr>
          <w:i/>
          <w:iCs/>
          <w:color w:val="222222"/>
          <w:shd w:val="clear" w:color="auto" w:fill="FFFFFF"/>
        </w:rPr>
        <w:t>88</w:t>
      </w:r>
      <w:r w:rsidRPr="00C21BB0">
        <w:rPr>
          <w:color w:val="222222"/>
          <w:shd w:val="clear" w:color="auto" w:fill="FFFFFF"/>
        </w:rPr>
        <w:t>(4), 1517-1548.</w:t>
      </w:r>
    </w:p>
    <w:p w14:paraId="550F3BF8" w14:textId="77777777" w:rsidR="00434452" w:rsidRDefault="00B02078" w:rsidP="009E6967">
      <w:pPr>
        <w:spacing w:line="480" w:lineRule="auto"/>
        <w:ind w:left="720" w:hanging="720"/>
      </w:pPr>
      <w:r>
        <w:t xml:space="preserve">Freeman, R. E. (1994). The Politics of Stakeholder Theory: Some Future Directions. </w:t>
      </w:r>
      <w:r>
        <w:rPr>
          <w:i/>
        </w:rPr>
        <w:t>Business</w:t>
      </w:r>
      <w:r w:rsidR="007C2794">
        <w:rPr>
          <w:i/>
        </w:rPr>
        <w:t xml:space="preserve"> </w:t>
      </w:r>
      <w:r>
        <w:t>Ethics Quarterly, 4(4), 409–421.</w:t>
      </w:r>
      <w:r w:rsidR="007C2794">
        <w:t xml:space="preserve"> </w:t>
      </w:r>
    </w:p>
    <w:p w14:paraId="0000008C" w14:textId="4D57A395" w:rsidR="00165A52" w:rsidRDefault="00B02078" w:rsidP="009E6967">
      <w:pPr>
        <w:spacing w:line="480" w:lineRule="auto"/>
        <w:ind w:left="720" w:hanging="720"/>
      </w:pPr>
      <w:r>
        <w:t>Gerber, E. M., &amp; Hui, J. (2013). Crowdfunding: Motivations and Deterrents for Participation.</w:t>
      </w:r>
      <w:r w:rsidR="007C2794">
        <w:t xml:space="preserve"> </w:t>
      </w:r>
      <w:r>
        <w:t>ACM Transactions on Computer-Human Interactions (TOCHI), 20(6), 1–32.</w:t>
      </w:r>
      <w:r w:rsidR="007C2794">
        <w:t xml:space="preserve"> </w:t>
      </w:r>
    </w:p>
    <w:p w14:paraId="380D818E" w14:textId="2AB1C672" w:rsidR="00D121D6" w:rsidRPr="008428A2" w:rsidRDefault="00D121D6" w:rsidP="009E6967">
      <w:pPr>
        <w:spacing w:line="480" w:lineRule="auto"/>
        <w:ind w:left="720" w:hanging="720"/>
        <w:rPr>
          <w:iCs/>
        </w:rPr>
      </w:pPr>
      <w:r>
        <w:t>Frumkin, P. (</w:t>
      </w:r>
      <w:r w:rsidR="008428A2">
        <w:t>2005</w:t>
      </w:r>
      <w:r>
        <w:t xml:space="preserve">). </w:t>
      </w:r>
      <w:r>
        <w:rPr>
          <w:i/>
          <w:iCs/>
        </w:rPr>
        <w:t>On Being Nonprofit</w:t>
      </w:r>
      <w:r w:rsidR="002F3896">
        <w:rPr>
          <w:i/>
          <w:iCs/>
        </w:rPr>
        <w:t>: A Conceptual and Policy Primer</w:t>
      </w:r>
      <w:r w:rsidR="008428A2">
        <w:rPr>
          <w:i/>
          <w:iCs/>
        </w:rPr>
        <w:t>.</w:t>
      </w:r>
      <w:r w:rsidR="008428A2">
        <w:rPr>
          <w:iCs/>
        </w:rPr>
        <w:t xml:space="preserve"> Harvard University Press.</w:t>
      </w:r>
    </w:p>
    <w:p w14:paraId="0000008D" w14:textId="047B6A6D" w:rsidR="00165A52" w:rsidRDefault="00B02078" w:rsidP="009E6967">
      <w:pPr>
        <w:spacing w:line="480" w:lineRule="auto"/>
        <w:ind w:left="720" w:hanging="720"/>
      </w:pPr>
      <w:r>
        <w:t xml:space="preserve">Golbeck, J., Grimes, J. M., &amp; Rogers, A. (2010). Twitter Use by the U.S. Congress. </w:t>
      </w:r>
      <w:r>
        <w:rPr>
          <w:i/>
        </w:rPr>
        <w:t>Journal of</w:t>
      </w:r>
      <w:r w:rsidR="007C2794">
        <w:rPr>
          <w:i/>
        </w:rPr>
        <w:t xml:space="preserve"> </w:t>
      </w:r>
      <w:r w:rsidRPr="00434452">
        <w:rPr>
          <w:i/>
          <w:iCs/>
        </w:rPr>
        <w:t>the American Society for Information Science and Technology</w:t>
      </w:r>
      <w:r>
        <w:t>, 61(8), 1612–1621.</w:t>
      </w:r>
      <w:r w:rsidR="007C2794">
        <w:t xml:space="preserve"> </w:t>
      </w:r>
      <w:hyperlink r:id="rId30">
        <w:r>
          <w:rPr>
            <w:color w:val="0000FF"/>
            <w:u w:val="single"/>
          </w:rPr>
          <w:t>https://doi.org/10.1002/asi</w:t>
        </w:r>
      </w:hyperlink>
      <w:r>
        <w:t xml:space="preserve"> </w:t>
      </w:r>
    </w:p>
    <w:p w14:paraId="0000008E" w14:textId="2B0E35FF" w:rsidR="00165A52" w:rsidRDefault="00B02078" w:rsidP="009E6967">
      <w:pPr>
        <w:spacing w:line="480" w:lineRule="auto"/>
        <w:ind w:left="720" w:hanging="720"/>
        <w:rPr>
          <w:sz w:val="36"/>
          <w:szCs w:val="36"/>
          <w:vertAlign w:val="superscript"/>
        </w:rPr>
      </w:pPr>
      <w:r>
        <w:t xml:space="preserve">Grunig, J. E. (1989). Sierra club study shows who become activists. </w:t>
      </w:r>
      <w:r>
        <w:rPr>
          <w:i/>
        </w:rPr>
        <w:t>Public Relations Review</w:t>
      </w:r>
      <w:r>
        <w:t>,</w:t>
      </w:r>
      <w:r w:rsidR="007C2794">
        <w:t xml:space="preserve"> </w:t>
      </w:r>
      <w:r>
        <w:rPr>
          <w:i/>
        </w:rPr>
        <w:t>15</w:t>
      </w:r>
      <w:r>
        <w:t>(3), 3–24. https://doi.org/10.1016/S0363-8111(89)80001-3</w:t>
      </w:r>
      <w:r w:rsidR="007C2794">
        <w:t xml:space="preserve"> </w:t>
      </w:r>
    </w:p>
    <w:p w14:paraId="0000008F" w14:textId="35C1CE7A" w:rsidR="00165A52" w:rsidRDefault="00B02078" w:rsidP="009E6967">
      <w:pPr>
        <w:spacing w:line="480" w:lineRule="auto"/>
        <w:ind w:left="720" w:hanging="720"/>
        <w:rPr>
          <w:sz w:val="36"/>
          <w:szCs w:val="36"/>
          <w:vertAlign w:val="superscript"/>
        </w:rPr>
      </w:pPr>
      <w:r>
        <w:lastRenderedPageBreak/>
        <w:t>Grunig, J. E. (1997). A situational theory of publics: Conceptual history, recent challenges and</w:t>
      </w:r>
      <w:r w:rsidR="007C2794">
        <w:t xml:space="preserve"> </w:t>
      </w:r>
      <w:r>
        <w:t xml:space="preserve">new research. In D. Moss, T. MacManus, &amp; D. </w:t>
      </w:r>
      <w:proofErr w:type="spellStart"/>
      <w:r>
        <w:t>Vercic</w:t>
      </w:r>
      <w:proofErr w:type="spellEnd"/>
      <w:r>
        <w:t xml:space="preserve"> (Eds.), </w:t>
      </w:r>
      <w:r>
        <w:rPr>
          <w:i/>
        </w:rPr>
        <w:t>Public relations research:</w:t>
      </w:r>
      <w:r w:rsidR="007C2794">
        <w:rPr>
          <w:i/>
        </w:rPr>
        <w:t xml:space="preserve"> </w:t>
      </w:r>
      <w:r>
        <w:rPr>
          <w:i/>
        </w:rPr>
        <w:t xml:space="preserve">An international perspective </w:t>
      </w:r>
      <w:r>
        <w:t>(pp. 3–38). International Thomson Business Press.</w:t>
      </w:r>
      <w:r w:rsidR="007C2794">
        <w:t xml:space="preserve"> </w:t>
      </w:r>
    </w:p>
    <w:p w14:paraId="00000090" w14:textId="180E2893" w:rsidR="00165A52" w:rsidRDefault="00B02078" w:rsidP="009E6967">
      <w:pPr>
        <w:spacing w:line="480" w:lineRule="auto"/>
        <w:ind w:left="720" w:hanging="720"/>
        <w:rPr>
          <w:sz w:val="36"/>
          <w:szCs w:val="36"/>
          <w:vertAlign w:val="superscript"/>
        </w:rPr>
      </w:pPr>
      <w:r>
        <w:t>Guidry, J. P. D., Waters, R. D., &amp; Saxton, G. D. (2014). Moving social marketing beyond</w:t>
      </w:r>
      <w:r w:rsidR="007C2794">
        <w:t xml:space="preserve"> </w:t>
      </w:r>
      <w:r>
        <w:t xml:space="preserve">personal change to social change. </w:t>
      </w:r>
      <w:r>
        <w:rPr>
          <w:i/>
        </w:rPr>
        <w:t>Journal of Social Marketing</w:t>
      </w:r>
      <w:r>
        <w:t xml:space="preserve">, </w:t>
      </w:r>
      <w:r>
        <w:rPr>
          <w:i/>
        </w:rPr>
        <w:t>4</w:t>
      </w:r>
      <w:r>
        <w:t>(3), 240–260.</w:t>
      </w:r>
      <w:r w:rsidR="007C2794">
        <w:t xml:space="preserve"> </w:t>
      </w:r>
      <w:r>
        <w:t>https://doi.org/10.1108/JSOCM-02-2014-0014</w:t>
      </w:r>
      <w:r w:rsidR="007C2794">
        <w:t xml:space="preserve"> </w:t>
      </w:r>
    </w:p>
    <w:p w14:paraId="00000091" w14:textId="5829F9AA" w:rsidR="00165A52" w:rsidRDefault="00B02078" w:rsidP="009E6967">
      <w:pPr>
        <w:spacing w:line="480" w:lineRule="auto"/>
        <w:ind w:left="720" w:hanging="720"/>
      </w:pPr>
      <w:r>
        <w:t>Guo, C., &amp; Saxton, G. D. (2014). Tweeting Social Change: How Social Media Are Changing</w:t>
      </w:r>
      <w:r w:rsidR="007C2794">
        <w:t xml:space="preserve"> </w:t>
      </w:r>
      <w:r>
        <w:t xml:space="preserve">Nonprofit Advocacy. </w:t>
      </w:r>
      <w:r w:rsidRPr="00434452">
        <w:rPr>
          <w:i/>
          <w:iCs/>
        </w:rPr>
        <w:t>Nonprofit and Voluntary Sector Quarterly</w:t>
      </w:r>
      <w:r>
        <w:t>, 43(1), 57–79.</w:t>
      </w:r>
      <w:r w:rsidR="007C2794">
        <w:t xml:space="preserve"> </w:t>
      </w:r>
      <w:r>
        <w:t>https://doi.org/10.1177/0899764012471585</w:t>
      </w:r>
      <w:r w:rsidR="007C2794">
        <w:t xml:space="preserve"> </w:t>
      </w:r>
      <w:r>
        <w:rPr>
          <w:noProof/>
        </w:rPr>
        <mc:AlternateContent>
          <mc:Choice Requires="wpg">
            <w:drawing>
              <wp:anchor distT="0" distB="0" distL="114300" distR="114300" simplePos="0" relativeHeight="251677696" behindDoc="1" locked="0" layoutInCell="1" hidden="0" allowOverlap="1" wp14:anchorId="774F79F6" wp14:editId="3F06C6A8">
                <wp:simplePos x="0" y="0"/>
                <wp:positionH relativeFrom="column">
                  <wp:posOffset>2755900</wp:posOffset>
                </wp:positionH>
                <wp:positionV relativeFrom="paragraph">
                  <wp:posOffset>0</wp:posOffset>
                </wp:positionV>
                <wp:extent cx="2007235" cy="184785"/>
                <wp:effectExtent l="0" t="0" r="0" b="0"/>
                <wp:wrapNone/>
                <wp:docPr id="2132378612" name="Freeform: Shape 2132378612"/>
                <wp:cNvGraphicFramePr/>
                <a:graphic xmlns:a="http://schemas.openxmlformats.org/drawingml/2006/main">
                  <a:graphicData uri="http://schemas.microsoft.com/office/word/2010/wordprocessingShape">
                    <wps:wsp>
                      <wps:cNvSpPr/>
                      <wps:spPr>
                        <a:xfrm>
                          <a:off x="5261545" y="3692370"/>
                          <a:ext cx="1997710" cy="175260"/>
                        </a:xfrm>
                        <a:custGeom>
                          <a:avLst/>
                          <a:gdLst/>
                          <a:ahLst/>
                          <a:cxnLst/>
                          <a:rect l="l" t="t" r="r" b="b"/>
                          <a:pathLst>
                            <a:path w="1997710" h="175260" extrusionOk="0">
                              <a:moveTo>
                                <a:pt x="1527644" y="0"/>
                              </a:moveTo>
                              <a:lnTo>
                                <a:pt x="1527644" y="0"/>
                              </a:lnTo>
                              <a:lnTo>
                                <a:pt x="0" y="0"/>
                              </a:lnTo>
                              <a:lnTo>
                                <a:pt x="0" y="175247"/>
                              </a:lnTo>
                              <a:lnTo>
                                <a:pt x="1527644" y="175247"/>
                              </a:lnTo>
                              <a:lnTo>
                                <a:pt x="1527644" y="0"/>
                              </a:lnTo>
                              <a:close/>
                            </a:path>
                            <a:path w="1997710" h="175260" extrusionOk="0">
                              <a:moveTo>
                                <a:pt x="1997290" y="0"/>
                              </a:moveTo>
                              <a:lnTo>
                                <a:pt x="1565757" y="0"/>
                              </a:lnTo>
                              <a:lnTo>
                                <a:pt x="1527657" y="0"/>
                              </a:lnTo>
                              <a:lnTo>
                                <a:pt x="1527657" y="175247"/>
                              </a:lnTo>
                              <a:lnTo>
                                <a:pt x="1565757" y="175247"/>
                              </a:lnTo>
                              <a:lnTo>
                                <a:pt x="1997290" y="175247"/>
                              </a:lnTo>
                              <a:lnTo>
                                <a:pt x="1997290"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1" distB="0" distT="0" distL="114300" distR="114300" hidden="0" layoutInCell="1" locked="0" relativeHeight="0" simplePos="0">
                <wp:simplePos x="0" y="0"/>
                <wp:positionH relativeFrom="column">
                  <wp:posOffset>2755900</wp:posOffset>
                </wp:positionH>
                <wp:positionV relativeFrom="paragraph">
                  <wp:posOffset>0</wp:posOffset>
                </wp:positionV>
                <wp:extent cx="2007235" cy="184785"/>
                <wp:effectExtent b="0" l="0" r="0" t="0"/>
                <wp:wrapNone/>
                <wp:docPr id="2132378612" name="image26.png"/>
                <a:graphic>
                  <a:graphicData uri="http://schemas.openxmlformats.org/drawingml/2006/picture">
                    <pic:pic>
                      <pic:nvPicPr>
                        <pic:cNvPr id="0" name="image26.png"/>
                        <pic:cNvPicPr preferRelativeResize="0"/>
                      </pic:nvPicPr>
                      <pic:blipFill>
                        <a:blip r:embed="rId32"/>
                        <a:srcRect/>
                        <a:stretch>
                          <a:fillRect/>
                        </a:stretch>
                      </pic:blipFill>
                      <pic:spPr>
                        <a:xfrm>
                          <a:off x="0" y="0"/>
                          <a:ext cx="2007235" cy="184785"/>
                        </a:xfrm>
                        <a:prstGeom prst="rect"/>
                        <a:ln/>
                      </pic:spPr>
                    </pic:pic>
                  </a:graphicData>
                </a:graphic>
              </wp:anchor>
            </w:drawing>
          </mc:Fallback>
        </mc:AlternateContent>
      </w:r>
    </w:p>
    <w:p w14:paraId="00000092" w14:textId="57A9662C" w:rsidR="00165A52" w:rsidRDefault="00B02078" w:rsidP="009E6967">
      <w:pPr>
        <w:spacing w:line="480" w:lineRule="auto"/>
        <w:ind w:left="720" w:hanging="720"/>
      </w:pPr>
      <w:r>
        <w:t xml:space="preserve">Halpin, D. R., </w:t>
      </w:r>
      <w:proofErr w:type="spellStart"/>
      <w:r>
        <w:t>Fraussen</w:t>
      </w:r>
      <w:proofErr w:type="spellEnd"/>
      <w:r>
        <w:t>, B., &amp; Ackland, R. (2021). Which audiences engage with advocacy</w:t>
      </w:r>
      <w:r w:rsidR="007C2794">
        <w:t xml:space="preserve"> </w:t>
      </w:r>
      <w:r>
        <w:t>groups on Twitter? Explaining the online engagement of elite, peer, and mass audiences</w:t>
      </w:r>
      <w:r w:rsidR="007C2794">
        <w:t xml:space="preserve"> </w:t>
      </w:r>
      <w:r>
        <w:t xml:space="preserve">with advocacy groups. </w:t>
      </w:r>
      <w:r w:rsidRPr="00D173D0">
        <w:rPr>
          <w:i/>
          <w:iCs/>
        </w:rPr>
        <w:t>Nonprofit and Voluntary Sector Quarterly</w:t>
      </w:r>
      <w:r>
        <w:t>, 50(4), 842-865.</w:t>
      </w:r>
      <w:r w:rsidR="007C2794">
        <w:t xml:space="preserve"> </w:t>
      </w:r>
    </w:p>
    <w:p w14:paraId="00000093" w14:textId="023A8EB2" w:rsidR="00165A52" w:rsidRDefault="00B02078" w:rsidP="009E6967">
      <w:pPr>
        <w:spacing w:line="480" w:lineRule="auto"/>
        <w:ind w:left="720" w:hanging="720"/>
      </w:pPr>
      <w:r>
        <w:t xml:space="preserve">Hardy, C. L., &amp; </w:t>
      </w:r>
      <w:proofErr w:type="spellStart"/>
      <w:r>
        <w:t>Vugt</w:t>
      </w:r>
      <w:proofErr w:type="spellEnd"/>
      <w:r>
        <w:t>, M. V. (2006). Nice Guys Finish First: The Competitive Altruism</w:t>
      </w:r>
      <w:r w:rsidR="007C2794">
        <w:t xml:space="preserve"> </w:t>
      </w:r>
      <w:r>
        <w:t xml:space="preserve">Hypothesis. </w:t>
      </w:r>
      <w:r w:rsidRPr="00D173D0">
        <w:rPr>
          <w:i/>
          <w:iCs/>
        </w:rPr>
        <w:t>Personality and Social Psychology Bulletin</w:t>
      </w:r>
      <w:r>
        <w:t>, 32(10), 1402–1413.</w:t>
      </w:r>
      <w:r w:rsidR="007C2794">
        <w:t xml:space="preserve"> </w:t>
      </w:r>
      <w:hyperlink r:id="rId33">
        <w:r>
          <w:rPr>
            <w:color w:val="1154CC"/>
            <w:u w:val="single"/>
          </w:rPr>
          <w:t>https://doi.org/10.1177/0146167206291006</w:t>
        </w:r>
      </w:hyperlink>
      <w:r w:rsidR="007C2794">
        <w:t xml:space="preserve"> </w:t>
      </w:r>
    </w:p>
    <w:p w14:paraId="00000094" w14:textId="1DC75344" w:rsidR="00165A52" w:rsidRDefault="00B02078" w:rsidP="009E6967">
      <w:pPr>
        <w:spacing w:line="480" w:lineRule="auto"/>
        <w:ind w:left="720" w:hanging="720"/>
      </w:pPr>
      <w:r>
        <w:t>Horvath, A. &amp; Powell, W. (2019). Contributory or disruptive: do new forms of philanthropy</w:t>
      </w:r>
      <w:r w:rsidR="007C2794">
        <w:t xml:space="preserve"> </w:t>
      </w:r>
      <w:r>
        <w:t xml:space="preserve">erode democracy? In R. Reich, C. </w:t>
      </w:r>
      <w:proofErr w:type="spellStart"/>
      <w:r>
        <w:t>Cordelli</w:t>
      </w:r>
      <w:proofErr w:type="spellEnd"/>
      <w:r>
        <w:t xml:space="preserve">, &amp; L. </w:t>
      </w:r>
      <w:proofErr w:type="spellStart"/>
      <w:r>
        <w:t>Bernholz</w:t>
      </w:r>
      <w:proofErr w:type="spellEnd"/>
      <w:r>
        <w:t xml:space="preserve"> (eds.), </w:t>
      </w:r>
      <w:r>
        <w:rPr>
          <w:i/>
        </w:rPr>
        <w:t>Philanthropy in</w:t>
      </w:r>
      <w:r w:rsidR="007C2794">
        <w:rPr>
          <w:i/>
        </w:rPr>
        <w:t xml:space="preserve"> </w:t>
      </w:r>
      <w:r>
        <w:rPr>
          <w:i/>
        </w:rPr>
        <w:t xml:space="preserve">Democratic Societies </w:t>
      </w:r>
      <w:r>
        <w:t>(pp. 87-122). University of Chicago Press.</w:t>
      </w:r>
      <w:r w:rsidR="007C2794">
        <w:t xml:space="preserve"> </w:t>
      </w:r>
    </w:p>
    <w:p w14:paraId="00000095" w14:textId="2D3CDF67" w:rsidR="00165A52" w:rsidRDefault="00B02078" w:rsidP="009E6967">
      <w:pPr>
        <w:spacing w:line="480" w:lineRule="auto"/>
        <w:ind w:left="720" w:hanging="720"/>
      </w:pPr>
      <w:r>
        <w:t>Hu, Q., &amp; Shi, W. (2017). Understanding Nonprofit Organizations’ Use of Social Networking</w:t>
      </w:r>
      <w:r w:rsidR="007C2794">
        <w:t xml:space="preserve"> </w:t>
      </w:r>
      <w:r>
        <w:t xml:space="preserve">Sites: An Examination of Management Factors. </w:t>
      </w:r>
      <w:r>
        <w:rPr>
          <w:i/>
        </w:rPr>
        <w:t>International Journal of Public</w:t>
      </w:r>
      <w:r w:rsidR="007C2794">
        <w:rPr>
          <w:i/>
        </w:rPr>
        <w:t xml:space="preserve"> </w:t>
      </w:r>
      <w:r w:rsidRPr="00D173D0">
        <w:rPr>
          <w:i/>
          <w:iCs/>
        </w:rPr>
        <w:t>Administration in the Digital Age</w:t>
      </w:r>
      <w:r>
        <w:t>, 4(1), 19–34.</w:t>
      </w:r>
      <w:r w:rsidR="007C2794">
        <w:t xml:space="preserve"> </w:t>
      </w:r>
      <w:r>
        <w:t>https://doi.org/10.4018/IJPADA.2017010102</w:t>
      </w:r>
      <w:r w:rsidR="007C2794">
        <w:t xml:space="preserve"> </w:t>
      </w:r>
    </w:p>
    <w:p w14:paraId="00000096" w14:textId="6926D4B6" w:rsidR="00165A52" w:rsidRDefault="00B02078" w:rsidP="009E6967">
      <w:pPr>
        <w:spacing w:line="480" w:lineRule="auto"/>
        <w:ind w:left="720" w:hanging="720"/>
      </w:pPr>
      <w:r>
        <w:lastRenderedPageBreak/>
        <w:t>Huotari, K., &amp; Hamari, J. (2017). A definition for gamification: Anchoring gamification in the</w:t>
      </w:r>
      <w:r w:rsidR="007C2794">
        <w:t xml:space="preserve"> </w:t>
      </w:r>
      <w:r>
        <w:t xml:space="preserve">service marketing literature. </w:t>
      </w:r>
      <w:r>
        <w:rPr>
          <w:i/>
        </w:rPr>
        <w:t>Electronic Markets</w:t>
      </w:r>
      <w:r>
        <w:t xml:space="preserve">, </w:t>
      </w:r>
      <w:r>
        <w:rPr>
          <w:i/>
        </w:rPr>
        <w:t>27</w:t>
      </w:r>
      <w:r>
        <w:t>(1), 21–31.</w:t>
      </w:r>
      <w:r w:rsidR="007C2794">
        <w:t xml:space="preserve"> </w:t>
      </w:r>
      <w:r>
        <w:t>https://doi.org/10.1007/s12525-015-0212-z</w:t>
      </w:r>
      <w:r w:rsidR="007C2794">
        <w:t xml:space="preserve"> </w:t>
      </w:r>
    </w:p>
    <w:p w14:paraId="664A1FBD" w14:textId="7BF3019C" w:rsidR="00FA43D2" w:rsidRPr="00FA43D2" w:rsidRDefault="00FA43D2" w:rsidP="009E6967">
      <w:pPr>
        <w:spacing w:line="480" w:lineRule="auto"/>
        <w:ind w:left="720" w:hanging="720"/>
        <w:rPr>
          <w:sz w:val="32"/>
          <w:szCs w:val="32"/>
        </w:rPr>
      </w:pPr>
      <w:r w:rsidRPr="00FA43D2">
        <w:rPr>
          <w:color w:val="222222"/>
          <w:shd w:val="clear" w:color="auto" w:fill="FFFFFF"/>
        </w:rPr>
        <w:t>Jang, H., &amp; Chu, W. (2022). The effect of message features on donations in donation‐based crowdfunding. </w:t>
      </w:r>
      <w:r w:rsidRPr="00FA43D2">
        <w:rPr>
          <w:i/>
          <w:iCs/>
          <w:color w:val="222222"/>
          <w:shd w:val="clear" w:color="auto" w:fill="FFFFFF"/>
        </w:rPr>
        <w:t xml:space="preserve">Journal of Consumer </w:t>
      </w:r>
      <w:proofErr w:type="spellStart"/>
      <w:r w:rsidRPr="00FA43D2">
        <w:rPr>
          <w:i/>
          <w:iCs/>
          <w:color w:val="222222"/>
          <w:shd w:val="clear" w:color="auto" w:fill="FFFFFF"/>
        </w:rPr>
        <w:t>Behaviour</w:t>
      </w:r>
      <w:proofErr w:type="spellEnd"/>
      <w:r w:rsidRPr="00FA43D2">
        <w:rPr>
          <w:color w:val="222222"/>
          <w:shd w:val="clear" w:color="auto" w:fill="FFFFFF"/>
        </w:rPr>
        <w:t>, </w:t>
      </w:r>
      <w:r w:rsidRPr="00FA43D2">
        <w:rPr>
          <w:i/>
          <w:iCs/>
          <w:color w:val="222222"/>
          <w:shd w:val="clear" w:color="auto" w:fill="FFFFFF"/>
        </w:rPr>
        <w:t>21</w:t>
      </w:r>
      <w:r w:rsidRPr="00FA43D2">
        <w:rPr>
          <w:color w:val="222222"/>
          <w:shd w:val="clear" w:color="auto" w:fill="FFFFFF"/>
        </w:rPr>
        <w:t>(6), 1464-1477.</w:t>
      </w:r>
    </w:p>
    <w:p w14:paraId="00000097" w14:textId="6AD3B438" w:rsidR="00165A52" w:rsidRDefault="00B02078" w:rsidP="009E6967">
      <w:pPr>
        <w:spacing w:line="480" w:lineRule="auto"/>
        <w:ind w:left="720" w:hanging="720"/>
      </w:pPr>
      <w:r>
        <w:t xml:space="preserve">Joseph, R. C., &amp; Lee, R. L. (2012). E-Fundraising—Perspectives </w:t>
      </w:r>
      <w:r w:rsidR="00D173D0">
        <w:t>from</w:t>
      </w:r>
      <w:r>
        <w:t xml:space="preserve"> Non</w:t>
      </w:r>
      <w:r w:rsidR="00D173D0">
        <w:t>-</w:t>
      </w:r>
      <w:r>
        <w:t>Profit</w:t>
      </w:r>
      <w:r w:rsidR="007C2794">
        <w:t xml:space="preserve"> </w:t>
      </w:r>
      <w:r>
        <w:t>Organizations. Proceedings for the Northeast Region Decision Sciences Institute</w:t>
      </w:r>
      <w:r w:rsidR="007C2794">
        <w:t xml:space="preserve"> </w:t>
      </w:r>
      <w:r>
        <w:rPr>
          <w:i/>
        </w:rPr>
        <w:t>(NEDSI)</w:t>
      </w:r>
      <w:r>
        <w:t xml:space="preserve">, </w:t>
      </w:r>
      <w:r>
        <w:rPr>
          <w:i/>
        </w:rPr>
        <w:t>March</w:t>
      </w:r>
      <w:r>
        <w:t>, 234–243.</w:t>
      </w:r>
      <w:r w:rsidR="007C2794">
        <w:t xml:space="preserve"> </w:t>
      </w:r>
    </w:p>
    <w:p w14:paraId="46BBB81A" w14:textId="256E23F7" w:rsidR="00D173D0" w:rsidRDefault="00B02078" w:rsidP="009E6967">
      <w:pPr>
        <w:spacing w:line="480" w:lineRule="auto"/>
        <w:ind w:left="720" w:hanging="720"/>
      </w:pPr>
      <w:r w:rsidRPr="004E062B">
        <w:rPr>
          <w:lang w:val="de-DE"/>
        </w:rPr>
        <w:t xml:space="preserve">Karlan, D., &amp; Wood, D. H. (2017). </w:t>
      </w:r>
      <w:r>
        <w:t>The effect of effectiveness: Donor response to aid</w:t>
      </w:r>
      <w:r w:rsidR="007C2794">
        <w:t xml:space="preserve"> </w:t>
      </w:r>
      <w:r>
        <w:t xml:space="preserve">effectiveness in a direct mail fundraising experiment. </w:t>
      </w:r>
      <w:r>
        <w:rPr>
          <w:i/>
        </w:rPr>
        <w:t>Journal of Behavioral and</w:t>
      </w:r>
      <w:r w:rsidR="007C2794">
        <w:rPr>
          <w:i/>
        </w:rPr>
        <w:t xml:space="preserve"> </w:t>
      </w:r>
      <w:r>
        <w:rPr>
          <w:i/>
        </w:rPr>
        <w:t>Experimental Economics</w:t>
      </w:r>
      <w:r>
        <w:t xml:space="preserve">, </w:t>
      </w:r>
      <w:r>
        <w:rPr>
          <w:i/>
        </w:rPr>
        <w:t>66</w:t>
      </w:r>
      <w:r>
        <w:t>, 1–8. https://doi.org/10.1016/j.socec.2016.05.005</w:t>
      </w:r>
      <w:r w:rsidR="007C2794">
        <w:t xml:space="preserve"> </w:t>
      </w:r>
    </w:p>
    <w:p w14:paraId="2E6C5372" w14:textId="705CD3D2" w:rsidR="00D02378" w:rsidRDefault="00B02078" w:rsidP="009E6967">
      <w:pPr>
        <w:spacing w:line="480" w:lineRule="auto"/>
        <w:ind w:left="720" w:hanging="720"/>
      </w:pPr>
      <w:r>
        <w:t xml:space="preserve">King, S. (2006). </w:t>
      </w:r>
      <w:r w:rsidRPr="00D173D0">
        <w:rPr>
          <w:i/>
          <w:iCs/>
        </w:rPr>
        <w:t>Pink Ribb</w:t>
      </w:r>
      <w:r w:rsidR="00A82462" w:rsidRPr="00D173D0">
        <w:rPr>
          <w:i/>
          <w:iCs/>
        </w:rPr>
        <w:t>o</w:t>
      </w:r>
      <w:r w:rsidRPr="00D173D0">
        <w:rPr>
          <w:i/>
          <w:iCs/>
        </w:rPr>
        <w:t>ns, Inc.: Breast Cancer and the Politics of Philanthropy</w:t>
      </w:r>
      <w:r>
        <w:t>. University</w:t>
      </w:r>
      <w:r w:rsidR="007C2794">
        <w:t xml:space="preserve"> </w:t>
      </w:r>
      <w:r>
        <w:t>of Minnesota Press.</w:t>
      </w:r>
    </w:p>
    <w:p w14:paraId="228247E4" w14:textId="2BC3E31A" w:rsidR="00A82462" w:rsidRDefault="00A82462" w:rsidP="009E6967">
      <w:pPr>
        <w:spacing w:line="480" w:lineRule="auto"/>
        <w:ind w:left="720" w:hanging="720"/>
      </w:pPr>
      <w:r w:rsidRPr="00A82462">
        <w:t xml:space="preserve">Kahneman, D., and Tversky, A. 1979. Prospect theory: an analysis of decision under risk. </w:t>
      </w:r>
      <w:proofErr w:type="spellStart"/>
      <w:r w:rsidRPr="00A82462">
        <w:rPr>
          <w:i/>
        </w:rPr>
        <w:t>Econometrica</w:t>
      </w:r>
      <w:proofErr w:type="spellEnd"/>
      <w:r w:rsidRPr="00A82462">
        <w:t xml:space="preserve"> 47:263-91</w:t>
      </w:r>
    </w:p>
    <w:p w14:paraId="00000098" w14:textId="36B880A9" w:rsidR="00165A52" w:rsidRPr="00D02378" w:rsidRDefault="00D02378" w:rsidP="009E6967">
      <w:pPr>
        <w:spacing w:line="480" w:lineRule="auto"/>
        <w:ind w:left="720" w:hanging="720"/>
        <w:rPr>
          <w:vertAlign w:val="superscript"/>
        </w:rPr>
      </w:pPr>
      <w:r w:rsidRPr="00D02378">
        <w:rPr>
          <w:color w:val="222222"/>
          <w:shd w:val="clear" w:color="auto" w:fill="FFFFFF"/>
        </w:rPr>
        <w:t xml:space="preserve">Knutsen, W. (2016). The non-profit sector is dead, long live the non-profit </w:t>
      </w:r>
      <w:proofErr w:type="gramStart"/>
      <w:r w:rsidRPr="00D02378">
        <w:rPr>
          <w:color w:val="222222"/>
          <w:shd w:val="clear" w:color="auto" w:fill="FFFFFF"/>
        </w:rPr>
        <w:t>sector!.</w:t>
      </w:r>
      <w:proofErr w:type="gramEnd"/>
      <w:r w:rsidRPr="00D02378">
        <w:rPr>
          <w:color w:val="222222"/>
          <w:shd w:val="clear" w:color="auto" w:fill="FFFFFF"/>
        </w:rPr>
        <w:t> </w:t>
      </w:r>
      <w:r w:rsidRPr="00D02378">
        <w:rPr>
          <w:i/>
          <w:iCs/>
          <w:color w:val="222222"/>
          <w:shd w:val="clear" w:color="auto" w:fill="FFFFFF"/>
        </w:rPr>
        <w:t>VOLUNTAS: International Journal of Voluntary and Nonprofit Organizations</w:t>
      </w:r>
      <w:r w:rsidRPr="00D02378">
        <w:rPr>
          <w:color w:val="222222"/>
          <w:shd w:val="clear" w:color="auto" w:fill="FFFFFF"/>
        </w:rPr>
        <w:t>, </w:t>
      </w:r>
      <w:r w:rsidRPr="00D02378">
        <w:rPr>
          <w:i/>
          <w:iCs/>
          <w:color w:val="222222"/>
          <w:shd w:val="clear" w:color="auto" w:fill="FFFFFF"/>
        </w:rPr>
        <w:t>27</w:t>
      </w:r>
      <w:r w:rsidRPr="00D02378">
        <w:rPr>
          <w:color w:val="222222"/>
          <w:shd w:val="clear" w:color="auto" w:fill="FFFFFF"/>
        </w:rPr>
        <w:t>, 1562-1584.</w:t>
      </w:r>
      <w:r w:rsidR="007C2794">
        <w:t xml:space="preserve"> </w:t>
      </w:r>
    </w:p>
    <w:p w14:paraId="00000099" w14:textId="7A6C8B73" w:rsidR="00165A52" w:rsidRDefault="00B02078" w:rsidP="009E6967">
      <w:pPr>
        <w:spacing w:line="480" w:lineRule="auto"/>
        <w:ind w:left="720" w:hanging="720"/>
        <w:rPr>
          <w:sz w:val="36"/>
          <w:szCs w:val="36"/>
          <w:vertAlign w:val="superscript"/>
        </w:rPr>
      </w:pPr>
      <w:r>
        <w:t>Kwon, S. J., Park, E., &amp; Kim, K. J. (2014). What drives successful social networking services? A</w:t>
      </w:r>
      <w:r w:rsidR="007C2794">
        <w:t xml:space="preserve"> </w:t>
      </w:r>
      <w:r>
        <w:t xml:space="preserve">comparative analysis of user acceptance of Facebook and Twitter. </w:t>
      </w:r>
      <w:r>
        <w:rPr>
          <w:i/>
        </w:rPr>
        <w:t>Social Science</w:t>
      </w:r>
      <w:r w:rsidR="007C2794">
        <w:rPr>
          <w:i/>
        </w:rPr>
        <w:t xml:space="preserve"> </w:t>
      </w:r>
      <w:r>
        <w:rPr>
          <w:i/>
        </w:rPr>
        <w:t>Journal</w:t>
      </w:r>
      <w:r>
        <w:t xml:space="preserve">, </w:t>
      </w:r>
      <w:r>
        <w:rPr>
          <w:i/>
        </w:rPr>
        <w:t>51</w:t>
      </w:r>
      <w:r>
        <w:t>(4), 534–544. https://doi.org/10.1016/j.soscij.2014.04.005</w:t>
      </w:r>
      <w:r w:rsidR="007C2794">
        <w:t xml:space="preserve"> </w:t>
      </w:r>
    </w:p>
    <w:p w14:paraId="0000009A" w14:textId="0E262438" w:rsidR="00165A52" w:rsidRDefault="00B02078" w:rsidP="009E6967">
      <w:pPr>
        <w:spacing w:line="480" w:lineRule="auto"/>
        <w:ind w:left="720" w:hanging="720"/>
        <w:rPr>
          <w:sz w:val="36"/>
          <w:szCs w:val="36"/>
          <w:vertAlign w:val="superscript"/>
        </w:rPr>
      </w:pPr>
      <w:proofErr w:type="spellStart"/>
      <w:r>
        <w:t>Lacetera</w:t>
      </w:r>
      <w:proofErr w:type="spellEnd"/>
      <w:r>
        <w:t>, N., Macis, M., &amp; Mele, A. (2015). Viral Altruism? Charitable Giving and Social</w:t>
      </w:r>
      <w:r w:rsidR="007C2794">
        <w:t xml:space="preserve"> </w:t>
      </w:r>
      <w:r>
        <w:t xml:space="preserve">Contagion in Online Networks. </w:t>
      </w:r>
      <w:r>
        <w:rPr>
          <w:i/>
        </w:rPr>
        <w:t>Sociological Sci</w:t>
      </w:r>
      <w:r w:rsidR="00D173D0">
        <w:rPr>
          <w:i/>
        </w:rPr>
        <w:t>ence</w:t>
      </w:r>
      <w:r>
        <w:t xml:space="preserve">, </w:t>
      </w:r>
      <w:r>
        <w:rPr>
          <w:i/>
        </w:rPr>
        <w:t>3</w:t>
      </w:r>
      <w:r>
        <w:t>, 202–238.</w:t>
      </w:r>
      <w:r w:rsidR="007C2794">
        <w:t xml:space="preserve"> </w:t>
      </w:r>
      <w:r>
        <w:t>https://doi.org/10.15195/v3.a11</w:t>
      </w:r>
      <w:r w:rsidR="007C2794">
        <w:t xml:space="preserve"> </w:t>
      </w:r>
    </w:p>
    <w:p w14:paraId="0000009B" w14:textId="167FEEB3" w:rsidR="00165A52" w:rsidRDefault="00B02078" w:rsidP="009E6967">
      <w:pPr>
        <w:spacing w:line="480" w:lineRule="auto"/>
        <w:ind w:left="720" w:hanging="720"/>
      </w:pPr>
      <w:r>
        <w:lastRenderedPageBreak/>
        <w:t>Lee, Y. J. (2021). Liked on Facebook, liked for real?</w:t>
      </w:r>
      <w:r w:rsidR="00D173D0">
        <w:t xml:space="preserve"> </w:t>
      </w:r>
      <w:r>
        <w:t>Nonprofits' online popularity and financial</w:t>
      </w:r>
      <w:r w:rsidR="007C2794">
        <w:t xml:space="preserve"> </w:t>
      </w:r>
      <w:r>
        <w:t xml:space="preserve">performance. </w:t>
      </w:r>
      <w:r w:rsidRPr="00D173D0">
        <w:rPr>
          <w:i/>
          <w:iCs/>
        </w:rPr>
        <w:t>Nonprofit Management and Leadership</w:t>
      </w:r>
      <w:r>
        <w:t>, 31(3), 609-621.</w:t>
      </w:r>
      <w:r w:rsidR="007C2794">
        <w:t xml:space="preserve"> </w:t>
      </w:r>
      <w:r>
        <w:t>https://doi.org/10.1002/nml.21447</w:t>
      </w:r>
      <w:r w:rsidR="007C2794">
        <w:t xml:space="preserve"> </w:t>
      </w:r>
    </w:p>
    <w:p w14:paraId="51AA75C7" w14:textId="0129CF93" w:rsidR="00AC71B7" w:rsidRPr="00AC71B7" w:rsidRDefault="00AC71B7" w:rsidP="009E6967">
      <w:pPr>
        <w:spacing w:line="480" w:lineRule="auto"/>
        <w:ind w:left="720" w:hanging="720"/>
        <w:rPr>
          <w:sz w:val="36"/>
          <w:szCs w:val="36"/>
          <w:vertAlign w:val="superscript"/>
        </w:rPr>
      </w:pPr>
      <w:r>
        <w:t xml:space="preserve">Levine Daniel, J. (2017, November 16). </w:t>
      </w:r>
      <w:r>
        <w:rPr>
          <w:i/>
          <w:iCs/>
        </w:rPr>
        <w:t>Understanding the Selection Process</w:t>
      </w:r>
      <w:r>
        <w:t xml:space="preserve"> [Video]. YouTube. </w:t>
      </w:r>
      <w:hyperlink r:id="rId34" w:history="1">
        <w:r w:rsidRPr="00F5481E">
          <w:rPr>
            <w:rStyle w:val="Hyperlink"/>
          </w:rPr>
          <w:t>https://www.youtube.com/watch?v=ehJNHSVz780</w:t>
        </w:r>
      </w:hyperlink>
      <w:r>
        <w:t xml:space="preserve">. </w:t>
      </w:r>
    </w:p>
    <w:p w14:paraId="0000009C" w14:textId="2DB28062" w:rsidR="00165A52" w:rsidRDefault="00B02078" w:rsidP="009E6967">
      <w:pPr>
        <w:spacing w:line="480" w:lineRule="auto"/>
        <w:ind w:left="720" w:hanging="720"/>
      </w:pPr>
      <w:r>
        <w:t xml:space="preserve">Levine Daniel, J., &amp; Eckerd, A. (2019). Organizational </w:t>
      </w:r>
      <w:proofErr w:type="spellStart"/>
      <w:r>
        <w:t>sensegiving</w:t>
      </w:r>
      <w:proofErr w:type="spellEnd"/>
      <w:r>
        <w:t>: Indicators and nonprofit</w:t>
      </w:r>
      <w:r w:rsidR="007C2794">
        <w:t xml:space="preserve"> </w:t>
      </w:r>
      <w:r>
        <w:t xml:space="preserve">signaling. </w:t>
      </w:r>
      <w:r w:rsidRPr="00D173D0">
        <w:rPr>
          <w:i/>
          <w:iCs/>
        </w:rPr>
        <w:t>Nonprofit Management and Leadership</w:t>
      </w:r>
      <w:r>
        <w:t>, 30(2), 213–231.</w:t>
      </w:r>
      <w:r w:rsidR="007C2794">
        <w:t xml:space="preserve"> </w:t>
      </w:r>
      <w:r>
        <w:t>https://doi.org/10.1002/nml.21383</w:t>
      </w:r>
      <w:r w:rsidR="007C2794">
        <w:t xml:space="preserve"> </w:t>
      </w:r>
    </w:p>
    <w:p w14:paraId="0000009D" w14:textId="239F5DA8" w:rsidR="00165A52" w:rsidRDefault="00B02078" w:rsidP="009E6967">
      <w:pPr>
        <w:spacing w:line="480" w:lineRule="auto"/>
        <w:ind w:left="720" w:hanging="720"/>
      </w:pPr>
      <w:r>
        <w:t>Liu, L., Suh, A., &amp; Wagner, C. (2017). Donation Behavior in Online Micro Charities: An</w:t>
      </w:r>
      <w:r w:rsidR="007C2794">
        <w:t xml:space="preserve"> </w:t>
      </w:r>
      <w:r>
        <w:t xml:space="preserve">Investigation of Charitable Crowdfunding Projects. </w:t>
      </w:r>
      <w:r>
        <w:rPr>
          <w:i/>
        </w:rPr>
        <w:t>Proceedings of the 50th Hawaii</w:t>
      </w:r>
      <w:r w:rsidR="007C2794">
        <w:rPr>
          <w:i/>
        </w:rPr>
        <w:t xml:space="preserve"> </w:t>
      </w:r>
      <w:r w:rsidRPr="00D173D0">
        <w:rPr>
          <w:i/>
          <w:iCs/>
        </w:rPr>
        <w:t>International Conference on System Sciences</w:t>
      </w:r>
      <w:r>
        <w:t>, 843–852.</w:t>
      </w:r>
      <w:r w:rsidR="007C2794">
        <w:t xml:space="preserve"> </w:t>
      </w:r>
    </w:p>
    <w:p w14:paraId="0000009E" w14:textId="0B5B1FF8" w:rsidR="00165A52" w:rsidRDefault="00B02078" w:rsidP="009E6967">
      <w:pPr>
        <w:spacing w:line="480" w:lineRule="auto"/>
        <w:ind w:left="720" w:hanging="720"/>
      </w:pPr>
      <w:r>
        <w:t>Lovejoy, K., &amp; Saxton, G. D. (2012). Information, Community, and Action: How Nonprofit</w:t>
      </w:r>
      <w:r w:rsidR="007C2794">
        <w:t xml:space="preserve"> </w:t>
      </w:r>
      <w:r>
        <w:t xml:space="preserve">Organizations Use Social Media. </w:t>
      </w:r>
      <w:r w:rsidRPr="00D173D0">
        <w:rPr>
          <w:i/>
          <w:iCs/>
        </w:rPr>
        <w:t>Journal of Computer-Mediated Communication</w:t>
      </w:r>
      <w:r>
        <w:t>, 17(3),</w:t>
      </w:r>
      <w:r w:rsidR="007C2794">
        <w:t xml:space="preserve"> </w:t>
      </w:r>
      <w:r>
        <w:t>337–353. https://doi.org/10.1111/j.1083-6101.2012.01576.x</w:t>
      </w:r>
      <w:r w:rsidR="007C2794">
        <w:t xml:space="preserve"> </w:t>
      </w:r>
    </w:p>
    <w:p w14:paraId="0000009F" w14:textId="2DEBDE77" w:rsidR="00165A52" w:rsidRDefault="00B02078" w:rsidP="009E6967">
      <w:pPr>
        <w:spacing w:line="480" w:lineRule="auto"/>
        <w:ind w:left="720" w:hanging="720"/>
        <w:rPr>
          <w:sz w:val="36"/>
          <w:szCs w:val="36"/>
          <w:vertAlign w:val="superscript"/>
        </w:rPr>
      </w:pPr>
      <w:r>
        <w:t>MacLaughlin, S. (2016). Charitable Giving Report: How Nonprofit Fundraising Performed in</w:t>
      </w:r>
      <w:r w:rsidR="007C2794">
        <w:t xml:space="preserve"> </w:t>
      </w:r>
      <w:r>
        <w:rPr>
          <w:i/>
        </w:rPr>
        <w:t xml:space="preserve">2016 </w:t>
      </w:r>
      <w:r>
        <w:t>(pp. 1–19). Blackbaud.</w:t>
      </w:r>
      <w:r w:rsidR="007C2794">
        <w:t xml:space="preserve"> </w:t>
      </w:r>
    </w:p>
    <w:p w14:paraId="000000A0" w14:textId="18D3889D" w:rsidR="00165A52" w:rsidRDefault="00B02078" w:rsidP="009E6967">
      <w:pPr>
        <w:spacing w:line="480" w:lineRule="auto"/>
        <w:ind w:left="720" w:hanging="720"/>
        <w:rPr>
          <w:sz w:val="36"/>
          <w:szCs w:val="36"/>
          <w:vertAlign w:val="subscript"/>
        </w:rPr>
      </w:pPr>
      <w:r>
        <w:t>Mato-Santiso, V., Rey-García, M., &amp; Sanzo-Pérez, M. J. (2021). Managing multi-stakeholder</w:t>
      </w:r>
      <w:r w:rsidR="007C2794">
        <w:t xml:space="preserve"> </w:t>
      </w:r>
      <w:r>
        <w:t>relationships in nonprofit organizations through multiple channels: A systematic review</w:t>
      </w:r>
      <w:r w:rsidR="007C2794">
        <w:t xml:space="preserve"> </w:t>
      </w:r>
      <w:r>
        <w:t xml:space="preserve">and research agenda for enhancing stakeholder relationship marketing. </w:t>
      </w:r>
      <w:r>
        <w:rPr>
          <w:i/>
        </w:rPr>
        <w:t>Public Relations</w:t>
      </w:r>
      <w:r w:rsidR="007C2794">
        <w:rPr>
          <w:i/>
        </w:rPr>
        <w:t xml:space="preserve"> </w:t>
      </w:r>
      <w:r>
        <w:rPr>
          <w:i/>
        </w:rPr>
        <w:t>Review</w:t>
      </w:r>
      <w:r>
        <w:t xml:space="preserve">, </w:t>
      </w:r>
      <w:r>
        <w:rPr>
          <w:i/>
        </w:rPr>
        <w:t>47</w:t>
      </w:r>
      <w:r>
        <w:t>(4), 102074.</w:t>
      </w:r>
      <w:r w:rsidR="007C2794">
        <w:t xml:space="preserve"> </w:t>
      </w:r>
    </w:p>
    <w:p w14:paraId="000000A1" w14:textId="65911B03" w:rsidR="00165A52" w:rsidRDefault="00B02078" w:rsidP="009E6967">
      <w:pPr>
        <w:spacing w:line="480" w:lineRule="auto"/>
        <w:ind w:left="720" w:hanging="720"/>
        <w:rPr>
          <w:sz w:val="36"/>
          <w:szCs w:val="36"/>
          <w:vertAlign w:val="superscript"/>
        </w:rPr>
      </w:pPr>
      <w:r>
        <w:t>Mitchell, R. K., Wood, D. J., &amp; Agle, B. (1997). Toward a Theory of Stakeholder Identification</w:t>
      </w:r>
      <w:r w:rsidR="007C2794">
        <w:t xml:space="preserve"> </w:t>
      </w:r>
      <w:r>
        <w:t xml:space="preserve">and Salience: Defining the Principle of Who and What Really Counts. </w:t>
      </w:r>
      <w:r>
        <w:rPr>
          <w:i/>
        </w:rPr>
        <w:t>Academy of</w:t>
      </w:r>
      <w:r w:rsidR="007C2794">
        <w:rPr>
          <w:i/>
        </w:rPr>
        <w:t xml:space="preserve"> </w:t>
      </w:r>
      <w:r>
        <w:rPr>
          <w:i/>
        </w:rPr>
        <w:t>Management Review</w:t>
      </w:r>
      <w:r>
        <w:t xml:space="preserve">, </w:t>
      </w:r>
      <w:r>
        <w:rPr>
          <w:i/>
        </w:rPr>
        <w:t>22</w:t>
      </w:r>
      <w:r>
        <w:t xml:space="preserve">(4), 853–886. </w:t>
      </w:r>
      <w:hyperlink r:id="rId35">
        <w:r>
          <w:rPr>
            <w:color w:val="1154CC"/>
            <w:u w:val="single"/>
          </w:rPr>
          <w:t>https://doi.org/10.5465/AMR.1997.9711022105</w:t>
        </w:r>
      </w:hyperlink>
      <w:r w:rsidR="007C2794">
        <w:t xml:space="preserve"> </w:t>
      </w:r>
    </w:p>
    <w:p w14:paraId="000000A2" w14:textId="2F418E84" w:rsidR="00165A52" w:rsidRDefault="00B02078" w:rsidP="009E6967">
      <w:pPr>
        <w:spacing w:line="480" w:lineRule="auto"/>
        <w:ind w:left="720" w:hanging="720"/>
        <w:rPr>
          <w:sz w:val="36"/>
          <w:szCs w:val="36"/>
          <w:vertAlign w:val="superscript"/>
        </w:rPr>
      </w:pPr>
      <w:r>
        <w:lastRenderedPageBreak/>
        <w:t>Nelson, T. E., Oxley, Z. M., &amp; Clawson, R. A. (1997). Toward a psychology of framing effects.</w:t>
      </w:r>
      <w:r w:rsidR="007C2794">
        <w:t xml:space="preserve"> </w:t>
      </w:r>
      <w:r w:rsidRPr="00D173D0">
        <w:rPr>
          <w:i/>
          <w:iCs/>
        </w:rPr>
        <w:t xml:space="preserve">Political </w:t>
      </w:r>
      <w:r w:rsidR="00D173D0" w:rsidRPr="00D173D0">
        <w:rPr>
          <w:i/>
          <w:iCs/>
        </w:rPr>
        <w:t>B</w:t>
      </w:r>
      <w:r w:rsidRPr="00D173D0">
        <w:rPr>
          <w:i/>
          <w:iCs/>
        </w:rPr>
        <w:t>ehavior</w:t>
      </w:r>
      <w:r>
        <w:t>, 19, 221-246.</w:t>
      </w:r>
      <w:r w:rsidR="007C2794">
        <w:t xml:space="preserve"> </w:t>
      </w:r>
    </w:p>
    <w:p w14:paraId="000000A3" w14:textId="2DF8905D" w:rsidR="00165A52" w:rsidRPr="004E062B" w:rsidRDefault="00B02078" w:rsidP="009E6967">
      <w:pPr>
        <w:spacing w:line="480" w:lineRule="auto"/>
        <w:ind w:left="720" w:hanging="720"/>
        <w:rPr>
          <w:sz w:val="36"/>
          <w:szCs w:val="36"/>
          <w:vertAlign w:val="superscript"/>
          <w:lang w:val="de-DE"/>
        </w:rPr>
      </w:pPr>
      <w:r>
        <w:t xml:space="preserve">Nguyen, T. A., </w:t>
      </w:r>
      <w:proofErr w:type="spellStart"/>
      <w:r>
        <w:t>Kodinsky</w:t>
      </w:r>
      <w:proofErr w:type="spellEnd"/>
      <w:r>
        <w:t xml:space="preserve">, D., Skelton, W., Kaur, P., Yin, Y., Mathew, A., &amp; </w:t>
      </w:r>
      <w:proofErr w:type="spellStart"/>
      <w:r>
        <w:t>Basapur</w:t>
      </w:r>
      <w:proofErr w:type="spellEnd"/>
      <w:r>
        <w:t>, S. (2012).</w:t>
      </w:r>
      <w:r w:rsidR="007C2794">
        <w:t xml:space="preserve"> </w:t>
      </w:r>
      <w:r>
        <w:t>Interactive philanthropy: An interactive public installation to explore the use of gaming</w:t>
      </w:r>
      <w:r w:rsidR="007C2794">
        <w:t xml:space="preserve"> </w:t>
      </w:r>
      <w:r>
        <w:t>for charity</w:t>
      </w:r>
      <w:r w:rsidRPr="00D173D0">
        <w:rPr>
          <w:i/>
          <w:iCs/>
        </w:rPr>
        <w:t>. Proceedings of the Designing Interactive Systems Conference</w:t>
      </w:r>
      <w:r>
        <w:t>, 482–485.</w:t>
      </w:r>
      <w:r w:rsidR="007C2794">
        <w:t xml:space="preserve"> </w:t>
      </w:r>
      <w:r w:rsidRPr="004E062B">
        <w:rPr>
          <w:lang w:val="de-DE"/>
        </w:rPr>
        <w:t>https://doi.org/10.1145/2317956.2318027</w:t>
      </w:r>
      <w:r w:rsidR="007C2794" w:rsidRPr="004E062B">
        <w:rPr>
          <w:lang w:val="de-DE"/>
        </w:rPr>
        <w:t xml:space="preserve"> </w:t>
      </w:r>
    </w:p>
    <w:p w14:paraId="000000A4" w14:textId="28EFD102" w:rsidR="00165A52" w:rsidRDefault="00B02078" w:rsidP="009E6967">
      <w:pPr>
        <w:spacing w:line="480" w:lineRule="auto"/>
        <w:ind w:left="720" w:hanging="720"/>
        <w:rPr>
          <w:sz w:val="36"/>
          <w:szCs w:val="36"/>
          <w:vertAlign w:val="subscript"/>
        </w:rPr>
      </w:pPr>
      <w:r w:rsidRPr="004E062B">
        <w:rPr>
          <w:lang w:val="de-DE"/>
        </w:rPr>
        <w:t xml:space="preserve">Paulin, M., Ferguson, R. J., Schattke, K., &amp; Jost, N. (2014). </w:t>
      </w:r>
      <w:r>
        <w:t>Millennials, Social Media, Prosocial</w:t>
      </w:r>
      <w:r w:rsidR="007C2794">
        <w:t xml:space="preserve"> </w:t>
      </w:r>
      <w:r>
        <w:t xml:space="preserve">Emotions, and Charitable Causes: The Paradox of Gender Differences. </w:t>
      </w:r>
      <w:r>
        <w:rPr>
          <w:i/>
        </w:rPr>
        <w:t>Journal of</w:t>
      </w:r>
      <w:r w:rsidR="007C2794">
        <w:rPr>
          <w:i/>
        </w:rPr>
        <w:t xml:space="preserve"> </w:t>
      </w:r>
      <w:r w:rsidRPr="00D173D0">
        <w:rPr>
          <w:i/>
          <w:iCs/>
        </w:rPr>
        <w:t>Nonprofit &amp; Public Sector Marketing,</w:t>
      </w:r>
      <w:r>
        <w:t xml:space="preserve"> 26(4), 335–353.</w:t>
      </w:r>
      <w:r w:rsidR="007C2794">
        <w:t xml:space="preserve"> </w:t>
      </w:r>
      <w:r>
        <w:t>https://doi.org/10.1080/10495142.2014.965069</w:t>
      </w:r>
      <w:r w:rsidR="007C2794">
        <w:t xml:space="preserve"> </w:t>
      </w:r>
    </w:p>
    <w:p w14:paraId="000000A5" w14:textId="3981132C" w:rsidR="00165A52" w:rsidRDefault="00B02078" w:rsidP="009E6967">
      <w:pPr>
        <w:spacing w:line="480" w:lineRule="auto"/>
        <w:ind w:left="720" w:hanging="720"/>
        <w:rPr>
          <w:sz w:val="36"/>
          <w:szCs w:val="36"/>
          <w:vertAlign w:val="superscript"/>
        </w:rPr>
      </w:pPr>
      <w:r>
        <w:t>Qu, H., &amp; Levine Daniel, J. (2021). Is “overhead” a tainted word? A survey experiment</w:t>
      </w:r>
      <w:r w:rsidR="007C2794">
        <w:t xml:space="preserve"> </w:t>
      </w:r>
      <w:r>
        <w:t xml:space="preserve">exploring framing effects of nonprofit overhead on donor decision. </w:t>
      </w:r>
      <w:r>
        <w:rPr>
          <w:i/>
        </w:rPr>
        <w:t>Nonprofit and</w:t>
      </w:r>
      <w:r w:rsidR="007C2794">
        <w:rPr>
          <w:i/>
        </w:rPr>
        <w:t xml:space="preserve"> </w:t>
      </w:r>
      <w:r w:rsidRPr="00D173D0">
        <w:rPr>
          <w:i/>
          <w:iCs/>
        </w:rPr>
        <w:t>Voluntary Sector Quarterly</w:t>
      </w:r>
      <w:r>
        <w:t>, 50(2), 397-419.</w:t>
      </w:r>
      <w:r w:rsidR="007C2794">
        <w:t xml:space="preserve"> </w:t>
      </w:r>
    </w:p>
    <w:p w14:paraId="000000A6" w14:textId="0DE84A9C" w:rsidR="00165A52" w:rsidRDefault="00B02078" w:rsidP="009E6967">
      <w:pPr>
        <w:spacing w:line="480" w:lineRule="auto"/>
        <w:ind w:left="720" w:hanging="720"/>
        <w:rPr>
          <w:sz w:val="36"/>
          <w:szCs w:val="36"/>
          <w:vertAlign w:val="superscript"/>
        </w:rPr>
      </w:pPr>
      <w:r>
        <w:t>Ritchie, R. J. B., &amp; Weinberg, C. B. (2000). A Typology of Nonprofit Competition: Insights for</w:t>
      </w:r>
      <w:r w:rsidR="007C2794">
        <w:t xml:space="preserve"> </w:t>
      </w:r>
      <w:r>
        <w:t xml:space="preserve">Social Marketers. </w:t>
      </w:r>
      <w:r>
        <w:rPr>
          <w:i/>
        </w:rPr>
        <w:t>Social Marketing Quarterly</w:t>
      </w:r>
      <w:r>
        <w:t xml:space="preserve">, </w:t>
      </w:r>
      <w:r>
        <w:rPr>
          <w:i/>
        </w:rPr>
        <w:t>6</w:t>
      </w:r>
      <w:r>
        <w:t>(3), 63–71.</w:t>
      </w:r>
      <w:r w:rsidR="007C2794">
        <w:t xml:space="preserve"> </w:t>
      </w:r>
      <w:r>
        <w:t>https://doi.org/10.1080/15245004.2000.9961122</w:t>
      </w:r>
      <w:r w:rsidR="007C2794">
        <w:t xml:space="preserve"> </w:t>
      </w:r>
    </w:p>
    <w:p w14:paraId="38D24CB9" w14:textId="7203DEE5" w:rsidR="00D121D6" w:rsidRPr="00D121D6" w:rsidRDefault="00D121D6" w:rsidP="009E6967">
      <w:pPr>
        <w:spacing w:line="480" w:lineRule="auto"/>
        <w:ind w:left="720" w:hanging="720"/>
      </w:pPr>
      <w:r w:rsidRPr="00D121D6">
        <w:rPr>
          <w:color w:val="222222"/>
          <w:shd w:val="clear" w:color="auto" w:fill="FFFFFF"/>
        </w:rPr>
        <w:t xml:space="preserve">Salamon, L. M., &amp; </w:t>
      </w:r>
      <w:proofErr w:type="spellStart"/>
      <w:r w:rsidRPr="00D121D6">
        <w:rPr>
          <w:color w:val="222222"/>
          <w:shd w:val="clear" w:color="auto" w:fill="FFFFFF"/>
        </w:rPr>
        <w:t>Anheier</w:t>
      </w:r>
      <w:proofErr w:type="spellEnd"/>
      <w:r w:rsidRPr="00D121D6">
        <w:rPr>
          <w:color w:val="222222"/>
          <w:shd w:val="clear" w:color="auto" w:fill="FFFFFF"/>
        </w:rPr>
        <w:t>, H. K. (1997). </w:t>
      </w:r>
      <w:r w:rsidRPr="00D121D6">
        <w:rPr>
          <w:i/>
          <w:iCs/>
          <w:color w:val="222222"/>
          <w:shd w:val="clear" w:color="auto" w:fill="FFFFFF"/>
        </w:rPr>
        <w:t>Defining the nonprofit sector: A cross-national analysis</w:t>
      </w:r>
      <w:r w:rsidRPr="00D121D6">
        <w:rPr>
          <w:color w:val="222222"/>
          <w:shd w:val="clear" w:color="auto" w:fill="FFFFFF"/>
        </w:rPr>
        <w:t>. Manchester University Press.</w:t>
      </w:r>
    </w:p>
    <w:p w14:paraId="000000A8" w14:textId="79C276E3" w:rsidR="00165A52" w:rsidRDefault="00B02078" w:rsidP="009E6967">
      <w:pPr>
        <w:spacing w:line="480" w:lineRule="auto"/>
        <w:ind w:left="720" w:hanging="720"/>
        <w:rPr>
          <w:sz w:val="36"/>
          <w:szCs w:val="36"/>
          <w:vertAlign w:val="superscript"/>
        </w:rPr>
      </w:pPr>
      <w:r>
        <w:t>Sargeant, A., &amp; Lee, S. (2002). Individual and Contextual Antecedents of Donor Trust in the</w:t>
      </w:r>
      <w:r w:rsidR="007C2794">
        <w:t xml:space="preserve"> </w:t>
      </w:r>
      <w:r>
        <w:t xml:space="preserve">Voluntary Sector. </w:t>
      </w:r>
      <w:r>
        <w:rPr>
          <w:i/>
        </w:rPr>
        <w:t>Journal of Marketing Management</w:t>
      </w:r>
      <w:r>
        <w:t xml:space="preserve">, </w:t>
      </w:r>
      <w:r>
        <w:rPr>
          <w:i/>
        </w:rPr>
        <w:t>18</w:t>
      </w:r>
      <w:r>
        <w:t>(7–8), 779–802.</w:t>
      </w:r>
      <w:r w:rsidR="007C2794">
        <w:t xml:space="preserve"> </w:t>
      </w:r>
      <w:r>
        <w:t>https://doi.org/10.1362/0267257022780679</w:t>
      </w:r>
      <w:r w:rsidR="007C2794">
        <w:t xml:space="preserve"> </w:t>
      </w:r>
    </w:p>
    <w:p w14:paraId="000000A9" w14:textId="30CA36A5" w:rsidR="00165A52" w:rsidRDefault="00B02078" w:rsidP="009E6967">
      <w:pPr>
        <w:spacing w:line="480" w:lineRule="auto"/>
        <w:ind w:left="720" w:hanging="720"/>
        <w:rPr>
          <w:sz w:val="36"/>
          <w:szCs w:val="36"/>
          <w:vertAlign w:val="superscript"/>
        </w:rPr>
      </w:pPr>
      <w:r w:rsidRPr="004E062B">
        <w:rPr>
          <w:lang w:val="de-DE"/>
        </w:rPr>
        <w:lastRenderedPageBreak/>
        <w:t xml:space="preserve">Saxton, G. D., &amp; Wang, L. (2014). </w:t>
      </w:r>
      <w:r>
        <w:t>The Social Network Effect: The Determinants of Giving</w:t>
      </w:r>
      <w:r w:rsidR="007C2794">
        <w:t xml:space="preserve"> </w:t>
      </w:r>
      <w:r>
        <w:t xml:space="preserve">Through Social Media. </w:t>
      </w:r>
      <w:r w:rsidRPr="00D173D0">
        <w:rPr>
          <w:i/>
          <w:iCs/>
        </w:rPr>
        <w:t>Nonprofit and Voluntary Sector Quarterly</w:t>
      </w:r>
      <w:r>
        <w:t>, 43(5), 850–868.</w:t>
      </w:r>
      <w:r w:rsidR="007C2794">
        <w:t xml:space="preserve"> </w:t>
      </w:r>
      <w:r>
        <w:t>https://doi.org/10.1177/0899764013485159</w:t>
      </w:r>
      <w:r w:rsidR="007C2794">
        <w:t xml:space="preserve"> </w:t>
      </w:r>
    </w:p>
    <w:p w14:paraId="000000AA" w14:textId="66F61ED0" w:rsidR="00165A52" w:rsidRDefault="00B02078" w:rsidP="009E6967">
      <w:pPr>
        <w:spacing w:line="480" w:lineRule="auto"/>
        <w:ind w:left="720" w:hanging="720"/>
        <w:rPr>
          <w:sz w:val="36"/>
          <w:szCs w:val="36"/>
          <w:vertAlign w:val="superscript"/>
        </w:rPr>
      </w:pPr>
      <w:r>
        <w:t>Sharp, Z. (2018). Existential Angst and Identity Rethink: The Complexities of Competition for</w:t>
      </w:r>
      <w:r w:rsidR="007C2794">
        <w:t xml:space="preserve"> </w:t>
      </w:r>
      <w:r>
        <w:t>the Nonprofit</w:t>
      </w:r>
      <w:r w:rsidRPr="00D173D0">
        <w:rPr>
          <w:i/>
          <w:iCs/>
        </w:rPr>
        <w:t>. Nonprofit and Voluntary Sector Quarterly</w:t>
      </w:r>
      <w:r>
        <w:t>, 47(4), 767–788.</w:t>
      </w:r>
      <w:r w:rsidR="007C2794">
        <w:t xml:space="preserve"> </w:t>
      </w:r>
      <w:r>
        <w:t>https://doi.org/10.1177/0899764018760399</w:t>
      </w:r>
      <w:r w:rsidR="007C2794">
        <w:t xml:space="preserve"> </w:t>
      </w:r>
    </w:p>
    <w:p w14:paraId="000000AB" w14:textId="0851BE80" w:rsidR="00165A52" w:rsidRDefault="00B02078" w:rsidP="009E6967">
      <w:pPr>
        <w:spacing w:line="480" w:lineRule="auto"/>
        <w:ind w:left="720" w:hanging="720"/>
        <w:rPr>
          <w:sz w:val="36"/>
          <w:szCs w:val="36"/>
          <w:vertAlign w:val="superscript"/>
        </w:rPr>
      </w:pPr>
      <w:r>
        <w:t>Solomon, J., Ma, W., &amp; Wash, R. (2015). Don’t Wait! How Timing Affects Coordination of</w:t>
      </w:r>
      <w:r w:rsidR="007C2794">
        <w:t xml:space="preserve"> </w:t>
      </w:r>
      <w:r>
        <w:t xml:space="preserve">Crowdfunding Donations. </w:t>
      </w:r>
      <w:r w:rsidRPr="00D173D0">
        <w:rPr>
          <w:i/>
          <w:iCs/>
        </w:rPr>
        <w:t>Proceedings of the 18th ACM Conference on Computer</w:t>
      </w:r>
      <w:r w:rsidR="007C2794" w:rsidRPr="00D173D0">
        <w:rPr>
          <w:i/>
          <w:iCs/>
        </w:rPr>
        <w:t xml:space="preserve"> </w:t>
      </w:r>
      <w:r w:rsidRPr="00D173D0">
        <w:rPr>
          <w:i/>
          <w:iCs/>
        </w:rPr>
        <w:t>Supported Cooperative Work &amp; Social Computing,</w:t>
      </w:r>
      <w:r>
        <w:t xml:space="preserve"> 547–556.</w:t>
      </w:r>
      <w:r w:rsidR="007C2794">
        <w:t xml:space="preserve"> </w:t>
      </w:r>
      <w:r>
        <w:t>https://doi.org/10.1145/2675133.2675296</w:t>
      </w:r>
      <w:r w:rsidR="007C2794">
        <w:t xml:space="preserve"> </w:t>
      </w:r>
    </w:p>
    <w:p w14:paraId="000000AC" w14:textId="2D338E24" w:rsidR="00165A52" w:rsidRDefault="00B02078" w:rsidP="009E6967">
      <w:pPr>
        <w:spacing w:line="480" w:lineRule="auto"/>
        <w:ind w:left="720" w:hanging="720"/>
        <w:rPr>
          <w:sz w:val="36"/>
          <w:szCs w:val="36"/>
          <w:vertAlign w:val="superscript"/>
        </w:rPr>
      </w:pPr>
      <w:r>
        <w:t xml:space="preserve">Suh, J., Hoang, T., &amp; </w:t>
      </w:r>
      <w:proofErr w:type="spellStart"/>
      <w:r>
        <w:t>Hijal-Moghrabi</w:t>
      </w:r>
      <w:proofErr w:type="spellEnd"/>
      <w:r>
        <w:t>, I. (2021). Nonprofit External Communications: General</w:t>
      </w:r>
      <w:r w:rsidR="007C2794">
        <w:t xml:space="preserve"> </w:t>
      </w:r>
      <w:r>
        <w:t xml:space="preserve">Management, Public Relations, or Fundraising Tool? </w:t>
      </w:r>
      <w:r>
        <w:rPr>
          <w:i/>
        </w:rPr>
        <w:t>Journal of Public and Nonprofit</w:t>
      </w:r>
      <w:r w:rsidR="007C2794">
        <w:rPr>
          <w:i/>
        </w:rPr>
        <w:t xml:space="preserve"> </w:t>
      </w:r>
      <w:r>
        <w:rPr>
          <w:i/>
        </w:rPr>
        <w:t>Affairs</w:t>
      </w:r>
      <w:r>
        <w:t xml:space="preserve">, </w:t>
      </w:r>
      <w:r>
        <w:rPr>
          <w:i/>
        </w:rPr>
        <w:t>7</w:t>
      </w:r>
      <w:r>
        <w:t>(2), 220–239. https://doi.org/10.20899/JPNA.7.2.220-239</w:t>
      </w:r>
      <w:r w:rsidR="007C2794">
        <w:t xml:space="preserve"> </w:t>
      </w:r>
    </w:p>
    <w:p w14:paraId="000000AD" w14:textId="580BF540" w:rsidR="00165A52" w:rsidRDefault="00B02078" w:rsidP="009E6967">
      <w:pPr>
        <w:spacing w:line="480" w:lineRule="auto"/>
        <w:ind w:left="720" w:hanging="720"/>
        <w:rPr>
          <w:sz w:val="36"/>
          <w:szCs w:val="36"/>
          <w:vertAlign w:val="superscript"/>
        </w:rPr>
      </w:pPr>
      <w:r>
        <w:t>Walk, M., Curley, C., &amp; Levine Daniel, J. (2022). Competition is on the rise: To what extent</w:t>
      </w:r>
      <w:r w:rsidR="007C2794">
        <w:t xml:space="preserve"> </w:t>
      </w:r>
      <w:r w:rsidR="00D173D0" w:rsidRPr="00D173D0">
        <w:t xml:space="preserve">does traditional fundraising performance research apply in competitive environments? </w:t>
      </w:r>
      <w:r w:rsidRPr="00D173D0">
        <w:rPr>
          <w:i/>
          <w:iCs/>
        </w:rPr>
        <w:t>Nonprofit Management and Leadership</w:t>
      </w:r>
      <w:r>
        <w:t>, 32(4), 651–667.</w:t>
      </w:r>
      <w:r w:rsidR="007C2794">
        <w:t xml:space="preserve"> </w:t>
      </w:r>
      <w:r>
        <w:t>https://doi.org/10.1002/nml.21500</w:t>
      </w:r>
      <w:r w:rsidR="007C2794">
        <w:t xml:space="preserve"> </w:t>
      </w:r>
    </w:p>
    <w:p w14:paraId="000000AE" w14:textId="4794FD9F" w:rsidR="00165A52" w:rsidRDefault="00B02078" w:rsidP="009E6967">
      <w:pPr>
        <w:spacing w:line="480" w:lineRule="auto"/>
        <w:ind w:left="720" w:hanging="720"/>
      </w:pPr>
      <w:r>
        <w:t xml:space="preserve">Warr, P. G. (1982). Pareto optimal redistribution and private charity. </w:t>
      </w:r>
      <w:r>
        <w:rPr>
          <w:i/>
        </w:rPr>
        <w:t>Journal of Public</w:t>
      </w:r>
      <w:r w:rsidR="007C2794">
        <w:rPr>
          <w:i/>
        </w:rPr>
        <w:t xml:space="preserve"> </w:t>
      </w:r>
      <w:r>
        <w:rPr>
          <w:i/>
        </w:rPr>
        <w:t>Economics</w:t>
      </w:r>
      <w:r>
        <w:t xml:space="preserve">, </w:t>
      </w:r>
      <w:r>
        <w:rPr>
          <w:i/>
        </w:rPr>
        <w:t>19</w:t>
      </w:r>
      <w:r>
        <w:t>(1), 131–138. https://doi.org/10.1016/0047-2727(82)90056-1</w:t>
      </w:r>
      <w:r w:rsidR="007C2794">
        <w:t xml:space="preserve"> </w:t>
      </w:r>
    </w:p>
    <w:p w14:paraId="7DA5CEE4" w14:textId="58D5637A" w:rsidR="0022421B" w:rsidRDefault="0022421B" w:rsidP="009E6967">
      <w:pPr>
        <w:spacing w:line="480" w:lineRule="auto"/>
        <w:ind w:left="720" w:hanging="720"/>
      </w:pPr>
      <w:r w:rsidRPr="0022421B">
        <w:t xml:space="preserve">Weisbrod, B. A. (1986). Toward a theory of the voluntary nonprofit sector in a three-sector economy. In </w:t>
      </w:r>
      <w:r w:rsidRPr="0022421B">
        <w:rPr>
          <w:i/>
          <w:iCs/>
        </w:rPr>
        <w:t>The economics of nonprofit institutions</w:t>
      </w:r>
      <w:r w:rsidRPr="0022421B">
        <w:t>. Oxford University Press.</w:t>
      </w:r>
    </w:p>
    <w:p w14:paraId="000000AF" w14:textId="7BBE7A89" w:rsidR="00165A52" w:rsidRDefault="00B02078" w:rsidP="009E6967">
      <w:pPr>
        <w:spacing w:line="480" w:lineRule="auto"/>
        <w:ind w:left="720" w:hanging="720"/>
      </w:pPr>
      <w:r>
        <w:lastRenderedPageBreak/>
        <w:t>Weisbrod, B. A., &amp; Dominguez, N. D. (1986). Demand for collective goods in private nonprofit</w:t>
      </w:r>
      <w:r w:rsidR="007C2794">
        <w:t xml:space="preserve"> </w:t>
      </w:r>
      <w:r>
        <w:t xml:space="preserve">markets: Can fundraising expenditures help overcome free-rider behavior? </w:t>
      </w:r>
      <w:r>
        <w:rPr>
          <w:i/>
        </w:rPr>
        <w:t>Journal of</w:t>
      </w:r>
      <w:r w:rsidR="007C2794">
        <w:rPr>
          <w:i/>
        </w:rPr>
        <w:t xml:space="preserve"> </w:t>
      </w:r>
      <w:r w:rsidRPr="00D173D0">
        <w:rPr>
          <w:i/>
          <w:iCs/>
        </w:rPr>
        <w:t>Public Economics</w:t>
      </w:r>
      <w:r>
        <w:t>, 30(1), 83–96.</w:t>
      </w:r>
      <w:r w:rsidR="007C2794">
        <w:t xml:space="preserve"> </w:t>
      </w:r>
    </w:p>
    <w:p w14:paraId="000000B0" w14:textId="5B2F2747" w:rsidR="00165A52" w:rsidRDefault="00B02078" w:rsidP="009E6967">
      <w:pPr>
        <w:spacing w:line="480" w:lineRule="auto"/>
        <w:ind w:left="720" w:hanging="720"/>
        <w:rPr>
          <w:sz w:val="36"/>
          <w:szCs w:val="36"/>
          <w:vertAlign w:val="superscript"/>
        </w:rPr>
      </w:pPr>
      <w:r>
        <w:t>Xiao, A., Huang, Y., Bortree, D. S., &amp; Waters, R. D. (2022). Designing social media fundraising</w:t>
      </w:r>
      <w:r w:rsidR="007C2794">
        <w:t xml:space="preserve"> </w:t>
      </w:r>
      <w:r>
        <w:t>messages: An experimental approach to understanding how message concreteness and</w:t>
      </w:r>
      <w:r w:rsidR="007C2794">
        <w:t xml:space="preserve"> </w:t>
      </w:r>
      <w:r>
        <w:t xml:space="preserve">framing influence donation intentions. </w:t>
      </w:r>
      <w:r>
        <w:rPr>
          <w:i/>
        </w:rPr>
        <w:t>Nonprofit and Voluntary Sector Quarterly</w:t>
      </w:r>
      <w:r>
        <w:t xml:space="preserve">, </w:t>
      </w:r>
      <w:r>
        <w:rPr>
          <w:i/>
        </w:rPr>
        <w:t>51</w:t>
      </w:r>
      <w:r>
        <w:t>(4),</w:t>
      </w:r>
      <w:r w:rsidR="007C2794">
        <w:t xml:space="preserve"> </w:t>
      </w:r>
      <w:r>
        <w:t>832-856.</w:t>
      </w:r>
      <w:r w:rsidR="007C2794">
        <w:t xml:space="preserve"> </w:t>
      </w:r>
    </w:p>
    <w:p w14:paraId="000000B1" w14:textId="65C9FDFB" w:rsidR="00165A52" w:rsidRDefault="00B02078" w:rsidP="009E6967">
      <w:pPr>
        <w:spacing w:line="480" w:lineRule="auto"/>
        <w:ind w:left="720" w:hanging="720"/>
      </w:pPr>
      <w:r>
        <w:t>Yu, H. (2017). Philanthropy on the move: Mobile communication and neoliberal citizenship in</w:t>
      </w:r>
      <w:r w:rsidR="007C2794">
        <w:t xml:space="preserve"> </w:t>
      </w:r>
      <w:r>
        <w:t>China</w:t>
      </w:r>
      <w:r w:rsidRPr="00F042C3">
        <w:rPr>
          <w:i/>
        </w:rPr>
        <w:t>. Communication and the Public</w:t>
      </w:r>
      <w:r>
        <w:t>, 2(1), 35–49.</w:t>
      </w:r>
      <w:r w:rsidR="007C2794">
        <w:t xml:space="preserve"> </w:t>
      </w:r>
      <w:r>
        <w:t>https://doi.org/10.1177/2057047317693634</w:t>
      </w:r>
      <w:r w:rsidR="007C2794">
        <w:t xml:space="preserve"> </w:t>
      </w:r>
      <w:r>
        <w:br w:type="page"/>
      </w:r>
    </w:p>
    <w:p w14:paraId="2ED83EA2" w14:textId="183E42FE" w:rsidR="00C006B3" w:rsidRDefault="00C006B3" w:rsidP="00C006B3">
      <w:pPr>
        <w:ind w:firstLine="0"/>
        <w:rPr>
          <w:color w:val="000000"/>
        </w:rPr>
      </w:pPr>
      <w:r>
        <w:rPr>
          <w:color w:val="000000"/>
        </w:rPr>
        <w:lastRenderedPageBreak/>
        <w:t>Figure 1: Nonprofit Messaging, Dialogic Loops, and the Public</w:t>
      </w:r>
    </w:p>
    <w:p w14:paraId="2E2BD773" w14:textId="62F52AB2" w:rsidR="00C006B3" w:rsidRDefault="00C006B3" w:rsidP="00C006B3">
      <w:pPr>
        <w:ind w:firstLine="0"/>
        <w:rPr>
          <w:color w:val="000000"/>
        </w:rPr>
      </w:pPr>
    </w:p>
    <w:p w14:paraId="7273D949" w14:textId="7D711800" w:rsidR="00C006B3" w:rsidRDefault="00C006B3" w:rsidP="00C006B3">
      <w:pPr>
        <w:ind w:firstLine="0"/>
        <w:rPr>
          <w:color w:val="000000"/>
        </w:rPr>
      </w:pPr>
      <w:r w:rsidRPr="00C006B3">
        <w:rPr>
          <w:noProof/>
          <w:color w:val="000000"/>
        </w:rPr>
        <w:drawing>
          <wp:inline distT="0" distB="0" distL="0" distR="0" wp14:anchorId="3833DB48" wp14:editId="35544894">
            <wp:extent cx="3956050" cy="20510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6050" cy="2051050"/>
                    </a:xfrm>
                    <a:prstGeom prst="rect">
                      <a:avLst/>
                    </a:prstGeom>
                    <a:noFill/>
                    <a:ln>
                      <a:noFill/>
                    </a:ln>
                  </pic:spPr>
                </pic:pic>
              </a:graphicData>
            </a:graphic>
          </wp:inline>
        </w:drawing>
      </w:r>
    </w:p>
    <w:p w14:paraId="26B3EB5A" w14:textId="77777777" w:rsidR="00C006B3" w:rsidRDefault="00C006B3">
      <w:pPr>
        <w:rPr>
          <w:color w:val="000000"/>
        </w:rPr>
      </w:pPr>
      <w:r>
        <w:rPr>
          <w:color w:val="000000"/>
        </w:rPr>
        <w:br w:type="page"/>
      </w:r>
    </w:p>
    <w:p w14:paraId="47F43413" w14:textId="792684AB" w:rsidR="00C006B3" w:rsidRDefault="00C006B3" w:rsidP="00C006B3">
      <w:pPr>
        <w:ind w:firstLine="0"/>
        <w:rPr>
          <w:color w:val="000000"/>
        </w:rPr>
      </w:pPr>
      <w:r>
        <w:rPr>
          <w:color w:val="000000"/>
        </w:rPr>
        <w:lastRenderedPageBreak/>
        <w:t>Figure 2: Competitive Philanthropy at the intersection of contributory philanthropy, crowdfunding, and gamification</w:t>
      </w:r>
    </w:p>
    <w:p w14:paraId="5A5E1DB4" w14:textId="77777777" w:rsidR="00C006B3" w:rsidRDefault="00C006B3" w:rsidP="00C006B3">
      <w:pPr>
        <w:ind w:firstLine="0"/>
        <w:rPr>
          <w:color w:val="000000"/>
        </w:rPr>
      </w:pPr>
    </w:p>
    <w:p w14:paraId="63AA3A75" w14:textId="048EE652" w:rsidR="00C006B3" w:rsidRDefault="00C006B3" w:rsidP="00C006B3">
      <w:pPr>
        <w:ind w:firstLine="0"/>
        <w:rPr>
          <w:color w:val="000000"/>
        </w:rPr>
      </w:pPr>
      <w:r w:rsidRPr="00C006B3">
        <w:rPr>
          <w:noProof/>
          <w:color w:val="000000"/>
        </w:rPr>
        <w:drawing>
          <wp:inline distT="0" distB="0" distL="0" distR="0" wp14:anchorId="2FA5923B" wp14:editId="25E6065D">
            <wp:extent cx="4032250" cy="2578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2250" cy="2578100"/>
                    </a:xfrm>
                    <a:prstGeom prst="rect">
                      <a:avLst/>
                    </a:prstGeom>
                    <a:noFill/>
                    <a:ln>
                      <a:noFill/>
                    </a:ln>
                  </pic:spPr>
                </pic:pic>
              </a:graphicData>
            </a:graphic>
          </wp:inline>
        </w:drawing>
      </w:r>
      <w:r>
        <w:rPr>
          <w:color w:val="000000"/>
        </w:rPr>
        <w:br w:type="page"/>
      </w:r>
    </w:p>
    <w:p w14:paraId="3159B433" w14:textId="2A21FFEC" w:rsidR="00C006B3" w:rsidRDefault="00C006B3" w:rsidP="00C006B3">
      <w:pPr>
        <w:ind w:firstLine="0"/>
        <w:rPr>
          <w:color w:val="000000"/>
        </w:rPr>
      </w:pPr>
      <w:r>
        <w:rPr>
          <w:color w:val="000000"/>
        </w:rPr>
        <w:lastRenderedPageBreak/>
        <w:t>Figure 3: Visualization of a BFG Bracket</w:t>
      </w:r>
    </w:p>
    <w:p w14:paraId="7563CB49" w14:textId="77777777" w:rsidR="00C006B3" w:rsidRDefault="00C006B3" w:rsidP="00C006B3">
      <w:pPr>
        <w:ind w:firstLine="0"/>
        <w:rPr>
          <w:color w:val="000000"/>
        </w:rPr>
      </w:pPr>
    </w:p>
    <w:p w14:paraId="3D70B309" w14:textId="105A7A59" w:rsidR="00C006B3" w:rsidRDefault="00C006B3" w:rsidP="00C006B3">
      <w:pPr>
        <w:ind w:firstLine="0"/>
        <w:rPr>
          <w:color w:val="000000"/>
        </w:rPr>
      </w:pPr>
      <w:r>
        <w:rPr>
          <w:noProof/>
        </w:rPr>
        <w:drawing>
          <wp:inline distT="0" distB="0" distL="0" distR="0" wp14:anchorId="7A14652C" wp14:editId="7015FE94">
            <wp:extent cx="5943600" cy="3415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415030"/>
                    </a:xfrm>
                    <a:prstGeom prst="rect">
                      <a:avLst/>
                    </a:prstGeom>
                  </pic:spPr>
                </pic:pic>
              </a:graphicData>
            </a:graphic>
          </wp:inline>
        </w:drawing>
      </w:r>
      <w:r>
        <w:rPr>
          <w:color w:val="000000"/>
        </w:rPr>
        <w:br w:type="page"/>
      </w:r>
    </w:p>
    <w:p w14:paraId="000000B2" w14:textId="55BC8CC1" w:rsidR="00165A52" w:rsidRDefault="00B02078">
      <w:pPr>
        <w:pBdr>
          <w:top w:val="nil"/>
          <w:left w:val="nil"/>
          <w:bottom w:val="nil"/>
          <w:right w:val="nil"/>
          <w:between w:val="nil"/>
        </w:pBdr>
        <w:ind w:firstLine="0"/>
        <w:rPr>
          <w:color w:val="000000"/>
        </w:rPr>
      </w:pPr>
      <w:r>
        <w:rPr>
          <w:color w:val="000000"/>
        </w:rPr>
        <w:lastRenderedPageBreak/>
        <w:t>Table 1: Examples of Coding Categories, Frames, and Examples</w:t>
      </w:r>
    </w:p>
    <w:p w14:paraId="000000B3" w14:textId="77777777" w:rsidR="00165A52" w:rsidRDefault="00165A52" w:rsidP="00D121D6">
      <w:pPr>
        <w:ind w:firstLine="0"/>
      </w:pPr>
    </w:p>
    <w:tbl>
      <w:tblPr>
        <w:tblStyle w:val="a2"/>
        <w:tblW w:w="910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9"/>
        <w:gridCol w:w="1726"/>
        <w:gridCol w:w="4860"/>
      </w:tblGrid>
      <w:tr w:rsidR="00D121D6" w14:paraId="3E73554C" w14:textId="77777777" w:rsidTr="0084507D">
        <w:trPr>
          <w:trHeight w:val="475"/>
        </w:trPr>
        <w:tc>
          <w:tcPr>
            <w:tcW w:w="2519" w:type="dxa"/>
          </w:tcPr>
          <w:p w14:paraId="771EA6D7" w14:textId="77777777" w:rsidR="00D121D6" w:rsidRDefault="00D121D6" w:rsidP="00493BCD">
            <w:pPr>
              <w:pBdr>
                <w:top w:val="nil"/>
                <w:left w:val="nil"/>
                <w:bottom w:val="nil"/>
                <w:right w:val="nil"/>
                <w:between w:val="nil"/>
              </w:pBdr>
              <w:rPr>
                <w:color w:val="000000"/>
              </w:rPr>
            </w:pPr>
            <w:r>
              <w:rPr>
                <w:color w:val="000000"/>
              </w:rPr>
              <w:t>Coding Category</w:t>
            </w:r>
          </w:p>
        </w:tc>
        <w:tc>
          <w:tcPr>
            <w:tcW w:w="1726" w:type="dxa"/>
          </w:tcPr>
          <w:p w14:paraId="6DF37423" w14:textId="77777777" w:rsidR="00D121D6" w:rsidRDefault="00D121D6" w:rsidP="00493BCD">
            <w:pPr>
              <w:pBdr>
                <w:top w:val="nil"/>
                <w:left w:val="nil"/>
                <w:bottom w:val="nil"/>
                <w:right w:val="nil"/>
                <w:between w:val="nil"/>
              </w:pBdr>
              <w:rPr>
                <w:color w:val="000000"/>
              </w:rPr>
            </w:pPr>
            <w:r>
              <w:rPr>
                <w:color w:val="000000"/>
              </w:rPr>
              <w:t>Frame</w:t>
            </w:r>
          </w:p>
        </w:tc>
        <w:tc>
          <w:tcPr>
            <w:tcW w:w="4860" w:type="dxa"/>
          </w:tcPr>
          <w:p w14:paraId="2FBB45D9" w14:textId="77777777" w:rsidR="00D121D6" w:rsidRDefault="00D121D6" w:rsidP="00493BCD">
            <w:pPr>
              <w:pBdr>
                <w:top w:val="nil"/>
                <w:left w:val="nil"/>
                <w:bottom w:val="nil"/>
                <w:right w:val="nil"/>
                <w:between w:val="nil"/>
              </w:pBdr>
              <w:rPr>
                <w:color w:val="000000"/>
              </w:rPr>
            </w:pPr>
            <w:r>
              <w:rPr>
                <w:color w:val="000000"/>
              </w:rPr>
              <w:t>Example</w:t>
            </w:r>
          </w:p>
        </w:tc>
      </w:tr>
      <w:tr w:rsidR="00D121D6" w14:paraId="5CD88C3B" w14:textId="77777777" w:rsidTr="0084507D">
        <w:trPr>
          <w:trHeight w:val="1579"/>
        </w:trPr>
        <w:tc>
          <w:tcPr>
            <w:tcW w:w="2519" w:type="dxa"/>
          </w:tcPr>
          <w:p w14:paraId="699C18AD" w14:textId="77777777" w:rsidR="00D121D6" w:rsidRDefault="00D121D6" w:rsidP="00493BCD">
            <w:pPr>
              <w:ind w:firstLine="0"/>
            </w:pPr>
            <w:r>
              <w:t>‘general do goodness’, ‘mission specific tug’</w:t>
            </w:r>
          </w:p>
        </w:tc>
        <w:tc>
          <w:tcPr>
            <w:tcW w:w="1726" w:type="dxa"/>
          </w:tcPr>
          <w:p w14:paraId="246B9D69" w14:textId="77777777" w:rsidR="00D121D6" w:rsidRDefault="00D121D6" w:rsidP="00493BCD">
            <w:pPr>
              <w:ind w:firstLine="0"/>
            </w:pPr>
            <w:r>
              <w:t>Philanthropic</w:t>
            </w:r>
          </w:p>
        </w:tc>
        <w:tc>
          <w:tcPr>
            <w:tcW w:w="4860" w:type="dxa"/>
          </w:tcPr>
          <w:p w14:paraId="4F828296" w14:textId="77777777" w:rsidR="00D121D6" w:rsidRDefault="00D121D6" w:rsidP="00493BCD">
            <w:pPr>
              <w:ind w:firstLine="0"/>
            </w:pPr>
            <w:r>
              <w:t>All funds raised during the Brackets for Good tournament will benefit 8200 athletes in #Minnesota! Donate at https://t.co/triIva2fsN #BFGMN</w:t>
            </w:r>
          </w:p>
        </w:tc>
      </w:tr>
      <w:tr w:rsidR="00D121D6" w14:paraId="41F006A2" w14:textId="77777777" w:rsidTr="0084507D">
        <w:trPr>
          <w:trHeight w:val="2131"/>
        </w:trPr>
        <w:tc>
          <w:tcPr>
            <w:tcW w:w="2519" w:type="dxa"/>
          </w:tcPr>
          <w:p w14:paraId="7A88A82B" w14:textId="77777777" w:rsidR="00D121D6" w:rsidRDefault="00D121D6" w:rsidP="00493BCD">
            <w:pPr>
              <w:ind w:firstLine="0"/>
            </w:pPr>
            <w:r>
              <w:t>‘fundraising scheme’, ‘additional competition featured’, ‘reference the big prize’, ‘acknowledge competitors’</w:t>
            </w:r>
          </w:p>
        </w:tc>
        <w:tc>
          <w:tcPr>
            <w:tcW w:w="1726" w:type="dxa"/>
          </w:tcPr>
          <w:p w14:paraId="67A879AC" w14:textId="77777777" w:rsidR="00D121D6" w:rsidRDefault="00D121D6" w:rsidP="00493BCD">
            <w:pPr>
              <w:ind w:firstLine="0"/>
            </w:pPr>
            <w:r>
              <w:t>Crowdsourcing</w:t>
            </w:r>
          </w:p>
        </w:tc>
        <w:tc>
          <w:tcPr>
            <w:tcW w:w="4860" w:type="dxa"/>
          </w:tcPr>
          <w:p w14:paraId="4550A5A8" w14:textId="77777777" w:rsidR="00D121D6" w:rsidRDefault="00D121D6" w:rsidP="00493BCD">
            <w:pPr>
              <w:ind w:firstLine="0"/>
            </w:pPr>
            <w:r>
              <w:t xml:space="preserve">Checking on another close contest in #BFGSTL @LittleBitSTL vs. @CoatAKid! Who will help when it counts in Round </w:t>
            </w:r>
            <w:proofErr w:type="gramStart"/>
            <w:r>
              <w:t>1?…</w:t>
            </w:r>
            <w:proofErr w:type="gramEnd"/>
            <w:r>
              <w:t xml:space="preserve"> https://t.co/UQKFuy8Zdt</w:t>
            </w:r>
          </w:p>
        </w:tc>
      </w:tr>
      <w:tr w:rsidR="00D121D6" w14:paraId="6F1E2085" w14:textId="77777777" w:rsidTr="0084507D">
        <w:trPr>
          <w:trHeight w:val="1579"/>
        </w:trPr>
        <w:tc>
          <w:tcPr>
            <w:tcW w:w="2519" w:type="dxa"/>
          </w:tcPr>
          <w:p w14:paraId="303B3E35" w14:textId="77777777" w:rsidR="00D121D6" w:rsidRDefault="00D121D6" w:rsidP="00493BCD">
            <w:pPr>
              <w:ind w:firstLine="0"/>
            </w:pPr>
            <w:r>
              <w:t>‘game references’, ‘specific basketball reference’</w:t>
            </w:r>
          </w:p>
        </w:tc>
        <w:tc>
          <w:tcPr>
            <w:tcW w:w="1726" w:type="dxa"/>
          </w:tcPr>
          <w:p w14:paraId="6BCE4A6C" w14:textId="77777777" w:rsidR="00D121D6" w:rsidRDefault="00D121D6" w:rsidP="00493BCD">
            <w:pPr>
              <w:ind w:firstLine="0"/>
            </w:pPr>
            <w:r>
              <w:t>Gamification</w:t>
            </w:r>
          </w:p>
        </w:tc>
        <w:tc>
          <w:tcPr>
            <w:tcW w:w="4860" w:type="dxa"/>
          </w:tcPr>
          <w:p w14:paraId="640A02E6" w14:textId="77777777" w:rsidR="00D121D6" w:rsidRDefault="00D121D6" w:rsidP="00493BCD">
            <w:pPr>
              <w:ind w:firstLine="0"/>
            </w:pPr>
            <w:r>
              <w:t>Use Buzzer Beater option at #BFGSTL. Make a donation, score doubled amt at round end w/ no time left on the clock.… https://t.co/087HjPrPha</w:t>
            </w:r>
          </w:p>
        </w:tc>
      </w:tr>
    </w:tbl>
    <w:p w14:paraId="6037B584" w14:textId="77777777" w:rsidR="0084507D" w:rsidRDefault="0084507D"/>
    <w:p w14:paraId="68B1A0B2" w14:textId="77777777" w:rsidR="00D121D6" w:rsidRDefault="00D121D6" w:rsidP="00D121D6">
      <w:pPr>
        <w:ind w:firstLine="0"/>
      </w:pPr>
    </w:p>
    <w:p w14:paraId="000000B4" w14:textId="77777777" w:rsidR="00165A52" w:rsidRDefault="00165A52">
      <w:pPr>
        <w:rPr>
          <w:rFonts w:ascii="Gill Sans" w:eastAsia="Gill Sans" w:hAnsi="Gill Sans" w:cs="Gill Sans"/>
          <w:sz w:val="20"/>
          <w:szCs w:val="20"/>
        </w:rPr>
      </w:pPr>
    </w:p>
    <w:p w14:paraId="000000B5" w14:textId="77777777" w:rsidR="00165A52" w:rsidRDefault="00165A52"/>
    <w:p w14:paraId="000000B6" w14:textId="77777777" w:rsidR="00165A52" w:rsidRDefault="00165A52"/>
    <w:p w14:paraId="000000B7" w14:textId="77777777" w:rsidR="00165A52" w:rsidRDefault="00165A52"/>
    <w:p w14:paraId="000000B8" w14:textId="77777777" w:rsidR="00165A52" w:rsidRDefault="00165A52"/>
    <w:p w14:paraId="000000B9" w14:textId="77777777" w:rsidR="00165A52" w:rsidRDefault="00165A52"/>
    <w:p w14:paraId="000000BA" w14:textId="77777777" w:rsidR="00165A52" w:rsidRDefault="00165A52"/>
    <w:p w14:paraId="000000BB" w14:textId="77777777" w:rsidR="00165A52" w:rsidRDefault="00165A52"/>
    <w:p w14:paraId="000000BC" w14:textId="77777777" w:rsidR="00165A52" w:rsidRDefault="00165A52"/>
    <w:p w14:paraId="000000BD" w14:textId="77777777" w:rsidR="00165A52" w:rsidRDefault="00165A52"/>
    <w:p w14:paraId="000000BE" w14:textId="77777777" w:rsidR="00165A52" w:rsidRDefault="00165A52"/>
    <w:p w14:paraId="000000BF" w14:textId="77777777" w:rsidR="00165A52" w:rsidRDefault="00165A52"/>
    <w:p w14:paraId="000000C0" w14:textId="77777777" w:rsidR="00165A52" w:rsidRDefault="00165A52">
      <w:pPr>
        <w:sectPr w:rsidR="00165A52" w:rsidSect="00C21BB0">
          <w:pgSz w:w="12240" w:h="15840"/>
          <w:pgMar w:top="1440" w:right="1440" w:bottom="1440" w:left="1440" w:header="184" w:footer="975" w:gutter="0"/>
          <w:pgNumType w:start="1"/>
          <w:cols w:space="720"/>
          <w:docGrid w:linePitch="326"/>
        </w:sectPr>
      </w:pPr>
    </w:p>
    <w:p w14:paraId="000000C1" w14:textId="77777777" w:rsidR="00165A52" w:rsidRDefault="00165A52"/>
    <w:p w14:paraId="000000C2" w14:textId="1AD17E37" w:rsidR="00165A52" w:rsidRDefault="00B02078" w:rsidP="0084507D">
      <w:pPr>
        <w:pBdr>
          <w:top w:val="nil"/>
          <w:left w:val="nil"/>
          <w:bottom w:val="nil"/>
          <w:right w:val="nil"/>
          <w:between w:val="nil"/>
        </w:pBdr>
        <w:ind w:firstLine="0"/>
        <w:rPr>
          <w:color w:val="000000"/>
        </w:rPr>
      </w:pPr>
      <w:r>
        <w:rPr>
          <w:color w:val="000000"/>
        </w:rPr>
        <w:t>Table 2: Descriptive Statistics</w:t>
      </w:r>
    </w:p>
    <w:p w14:paraId="000000C4" w14:textId="77777777" w:rsidR="00165A52" w:rsidRDefault="00165A52" w:rsidP="0084507D">
      <w:pPr>
        <w:ind w:firstLine="0"/>
        <w:rPr>
          <w:rFonts w:ascii="Gill Sans" w:eastAsia="Gill Sans" w:hAnsi="Gill Sans" w:cs="Gill Sans"/>
          <w:sz w:val="20"/>
          <w:szCs w:val="20"/>
        </w:rPr>
      </w:pPr>
    </w:p>
    <w:p w14:paraId="000000C5" w14:textId="77777777" w:rsidR="00165A52" w:rsidRDefault="00165A52"/>
    <w:tbl>
      <w:tblPr>
        <w:tblStyle w:val="a2"/>
        <w:tblW w:w="830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9"/>
        <w:gridCol w:w="634"/>
        <w:gridCol w:w="1335"/>
        <w:gridCol w:w="1455"/>
        <w:gridCol w:w="830"/>
        <w:gridCol w:w="1534"/>
      </w:tblGrid>
      <w:tr w:rsidR="0084507D" w14:paraId="6F8B166F" w14:textId="77777777" w:rsidTr="00493BCD">
        <w:trPr>
          <w:trHeight w:val="455"/>
        </w:trPr>
        <w:tc>
          <w:tcPr>
            <w:tcW w:w="3153" w:type="dxa"/>
            <w:gridSpan w:val="2"/>
            <w:tcBorders>
              <w:bottom w:val="single" w:sz="6" w:space="0" w:color="000000"/>
            </w:tcBorders>
          </w:tcPr>
          <w:p w14:paraId="5156A32B" w14:textId="77777777" w:rsidR="0084507D" w:rsidRDefault="0084507D" w:rsidP="00493BCD">
            <w:pPr>
              <w:pBdr>
                <w:top w:val="nil"/>
                <w:left w:val="nil"/>
                <w:bottom w:val="nil"/>
                <w:right w:val="nil"/>
                <w:between w:val="nil"/>
              </w:pBdr>
              <w:ind w:firstLine="0"/>
              <w:rPr>
                <w:color w:val="000000"/>
              </w:rPr>
            </w:pPr>
            <w:r>
              <w:rPr>
                <w:color w:val="000000"/>
              </w:rPr>
              <w:t>N</w:t>
            </w:r>
          </w:p>
        </w:tc>
        <w:tc>
          <w:tcPr>
            <w:tcW w:w="1335" w:type="dxa"/>
            <w:tcBorders>
              <w:bottom w:val="single" w:sz="6" w:space="0" w:color="000000"/>
            </w:tcBorders>
          </w:tcPr>
          <w:p w14:paraId="03BE86CF" w14:textId="77777777" w:rsidR="0084507D" w:rsidRDefault="0084507D" w:rsidP="00493BCD">
            <w:pPr>
              <w:pBdr>
                <w:top w:val="nil"/>
                <w:left w:val="nil"/>
                <w:bottom w:val="nil"/>
                <w:right w:val="nil"/>
                <w:between w:val="nil"/>
              </w:pBdr>
              <w:ind w:firstLine="0"/>
              <w:rPr>
                <w:color w:val="000000"/>
              </w:rPr>
            </w:pPr>
            <w:r>
              <w:rPr>
                <w:color w:val="000000"/>
              </w:rPr>
              <w:t>mean</w:t>
            </w:r>
          </w:p>
        </w:tc>
        <w:tc>
          <w:tcPr>
            <w:tcW w:w="1455" w:type="dxa"/>
            <w:tcBorders>
              <w:bottom w:val="single" w:sz="6" w:space="0" w:color="000000"/>
            </w:tcBorders>
          </w:tcPr>
          <w:p w14:paraId="3F46730A" w14:textId="77777777" w:rsidR="0084507D" w:rsidRDefault="0084507D" w:rsidP="00493BCD">
            <w:pPr>
              <w:pBdr>
                <w:top w:val="nil"/>
                <w:left w:val="nil"/>
                <w:bottom w:val="nil"/>
                <w:right w:val="nil"/>
                <w:between w:val="nil"/>
              </w:pBdr>
              <w:ind w:firstLine="0"/>
              <w:rPr>
                <w:color w:val="000000"/>
              </w:rPr>
            </w:pPr>
            <w:proofErr w:type="spellStart"/>
            <w:r>
              <w:rPr>
                <w:color w:val="000000"/>
              </w:rPr>
              <w:t>sd</w:t>
            </w:r>
            <w:proofErr w:type="spellEnd"/>
          </w:p>
        </w:tc>
        <w:tc>
          <w:tcPr>
            <w:tcW w:w="830" w:type="dxa"/>
            <w:tcBorders>
              <w:bottom w:val="single" w:sz="6" w:space="0" w:color="000000"/>
            </w:tcBorders>
          </w:tcPr>
          <w:p w14:paraId="0CB8172F" w14:textId="77777777" w:rsidR="0084507D" w:rsidRDefault="0084507D" w:rsidP="00493BCD">
            <w:pPr>
              <w:pBdr>
                <w:top w:val="nil"/>
                <w:left w:val="nil"/>
                <w:bottom w:val="nil"/>
                <w:right w:val="nil"/>
                <w:between w:val="nil"/>
              </w:pBdr>
              <w:ind w:firstLine="0"/>
              <w:rPr>
                <w:color w:val="000000"/>
              </w:rPr>
            </w:pPr>
            <w:r>
              <w:rPr>
                <w:color w:val="000000"/>
              </w:rPr>
              <w:t>min</w:t>
            </w:r>
          </w:p>
        </w:tc>
        <w:tc>
          <w:tcPr>
            <w:tcW w:w="1534" w:type="dxa"/>
            <w:tcBorders>
              <w:bottom w:val="single" w:sz="6" w:space="0" w:color="000000"/>
            </w:tcBorders>
          </w:tcPr>
          <w:p w14:paraId="0D5E23AB" w14:textId="77777777" w:rsidR="0084507D" w:rsidRDefault="0084507D" w:rsidP="00493BCD">
            <w:pPr>
              <w:pBdr>
                <w:top w:val="nil"/>
                <w:left w:val="nil"/>
                <w:bottom w:val="nil"/>
                <w:right w:val="nil"/>
                <w:between w:val="nil"/>
              </w:pBdr>
              <w:ind w:firstLine="0"/>
              <w:rPr>
                <w:color w:val="000000"/>
              </w:rPr>
            </w:pPr>
            <w:r>
              <w:rPr>
                <w:color w:val="000000"/>
              </w:rPr>
              <w:t>max</w:t>
            </w:r>
          </w:p>
        </w:tc>
      </w:tr>
      <w:tr w:rsidR="0084507D" w14:paraId="79706ECA" w14:textId="77777777" w:rsidTr="00493BCD">
        <w:trPr>
          <w:trHeight w:val="848"/>
        </w:trPr>
        <w:tc>
          <w:tcPr>
            <w:tcW w:w="2519" w:type="dxa"/>
            <w:tcBorders>
              <w:top w:val="single" w:sz="6" w:space="0" w:color="000000"/>
            </w:tcBorders>
          </w:tcPr>
          <w:p w14:paraId="45E88CD2" w14:textId="77777777" w:rsidR="0084507D" w:rsidRDefault="0084507D" w:rsidP="00493BCD">
            <w:pPr>
              <w:pBdr>
                <w:top w:val="nil"/>
                <w:left w:val="nil"/>
                <w:bottom w:val="nil"/>
                <w:right w:val="nil"/>
                <w:between w:val="nil"/>
              </w:pBdr>
              <w:ind w:firstLine="0"/>
              <w:rPr>
                <w:color w:val="000000"/>
              </w:rPr>
            </w:pPr>
          </w:p>
          <w:p w14:paraId="056F2EBB" w14:textId="77777777" w:rsidR="0084507D" w:rsidRDefault="0084507D" w:rsidP="00493BCD">
            <w:pPr>
              <w:pBdr>
                <w:top w:val="nil"/>
                <w:left w:val="nil"/>
                <w:bottom w:val="nil"/>
                <w:right w:val="nil"/>
                <w:between w:val="nil"/>
              </w:pBdr>
              <w:ind w:firstLine="0"/>
              <w:rPr>
                <w:color w:val="000000"/>
              </w:rPr>
            </w:pPr>
            <w:r>
              <w:rPr>
                <w:color w:val="000000"/>
              </w:rPr>
              <w:t>Total Dollars Raised</w:t>
            </w:r>
          </w:p>
        </w:tc>
        <w:tc>
          <w:tcPr>
            <w:tcW w:w="634" w:type="dxa"/>
            <w:tcBorders>
              <w:top w:val="single" w:sz="6" w:space="0" w:color="000000"/>
            </w:tcBorders>
          </w:tcPr>
          <w:p w14:paraId="156078A1" w14:textId="77777777" w:rsidR="0084507D" w:rsidRDefault="0084507D" w:rsidP="00493BCD">
            <w:pPr>
              <w:pBdr>
                <w:top w:val="nil"/>
                <w:left w:val="nil"/>
                <w:bottom w:val="nil"/>
                <w:right w:val="nil"/>
                <w:between w:val="nil"/>
              </w:pBdr>
              <w:ind w:firstLine="0"/>
              <w:rPr>
                <w:color w:val="000000"/>
              </w:rPr>
            </w:pPr>
          </w:p>
          <w:p w14:paraId="310070E9" w14:textId="77777777" w:rsidR="0084507D" w:rsidRDefault="0084507D" w:rsidP="00493BCD">
            <w:pPr>
              <w:pBdr>
                <w:top w:val="nil"/>
                <w:left w:val="nil"/>
                <w:bottom w:val="nil"/>
                <w:right w:val="nil"/>
                <w:between w:val="nil"/>
              </w:pBdr>
              <w:ind w:firstLine="0"/>
              <w:rPr>
                <w:color w:val="000000"/>
              </w:rPr>
            </w:pPr>
            <w:r>
              <w:rPr>
                <w:color w:val="000000"/>
              </w:rPr>
              <w:t>485</w:t>
            </w:r>
          </w:p>
        </w:tc>
        <w:tc>
          <w:tcPr>
            <w:tcW w:w="1335" w:type="dxa"/>
            <w:tcBorders>
              <w:top w:val="single" w:sz="6" w:space="0" w:color="000000"/>
            </w:tcBorders>
          </w:tcPr>
          <w:p w14:paraId="78F86BDD" w14:textId="77777777" w:rsidR="0084507D" w:rsidRDefault="0084507D" w:rsidP="00493BCD">
            <w:pPr>
              <w:pBdr>
                <w:top w:val="nil"/>
                <w:left w:val="nil"/>
                <w:bottom w:val="nil"/>
                <w:right w:val="nil"/>
                <w:between w:val="nil"/>
              </w:pBdr>
              <w:ind w:firstLine="0"/>
              <w:rPr>
                <w:color w:val="000000"/>
              </w:rPr>
            </w:pPr>
          </w:p>
          <w:p w14:paraId="6D4EF997" w14:textId="77777777" w:rsidR="0084507D" w:rsidRDefault="0084507D" w:rsidP="00493BCD">
            <w:pPr>
              <w:pBdr>
                <w:top w:val="nil"/>
                <w:left w:val="nil"/>
                <w:bottom w:val="nil"/>
                <w:right w:val="nil"/>
                <w:between w:val="nil"/>
              </w:pBdr>
              <w:ind w:firstLine="0"/>
              <w:rPr>
                <w:color w:val="000000"/>
              </w:rPr>
            </w:pPr>
            <w:r>
              <w:rPr>
                <w:color w:val="000000"/>
              </w:rPr>
              <w:t>1,015</w:t>
            </w:r>
          </w:p>
        </w:tc>
        <w:tc>
          <w:tcPr>
            <w:tcW w:w="1455" w:type="dxa"/>
            <w:tcBorders>
              <w:top w:val="single" w:sz="6" w:space="0" w:color="000000"/>
            </w:tcBorders>
          </w:tcPr>
          <w:p w14:paraId="09C9FCE3" w14:textId="77777777" w:rsidR="0084507D" w:rsidRDefault="0084507D" w:rsidP="00493BCD">
            <w:pPr>
              <w:pBdr>
                <w:top w:val="nil"/>
                <w:left w:val="nil"/>
                <w:bottom w:val="nil"/>
                <w:right w:val="nil"/>
                <w:between w:val="nil"/>
              </w:pBdr>
              <w:ind w:firstLine="0"/>
              <w:rPr>
                <w:color w:val="000000"/>
              </w:rPr>
            </w:pPr>
          </w:p>
          <w:p w14:paraId="24F73AA7" w14:textId="77777777" w:rsidR="0084507D" w:rsidRDefault="0084507D" w:rsidP="00493BCD">
            <w:pPr>
              <w:pBdr>
                <w:top w:val="nil"/>
                <w:left w:val="nil"/>
                <w:bottom w:val="nil"/>
                <w:right w:val="nil"/>
                <w:between w:val="nil"/>
              </w:pBdr>
              <w:ind w:firstLine="0"/>
              <w:rPr>
                <w:color w:val="000000"/>
              </w:rPr>
            </w:pPr>
            <w:r>
              <w:rPr>
                <w:color w:val="000000"/>
              </w:rPr>
              <w:t>2,281</w:t>
            </w:r>
          </w:p>
        </w:tc>
        <w:tc>
          <w:tcPr>
            <w:tcW w:w="830" w:type="dxa"/>
            <w:tcBorders>
              <w:top w:val="single" w:sz="6" w:space="0" w:color="000000"/>
            </w:tcBorders>
          </w:tcPr>
          <w:p w14:paraId="3B91D642" w14:textId="77777777" w:rsidR="0084507D" w:rsidRDefault="0084507D" w:rsidP="00493BCD">
            <w:pPr>
              <w:pBdr>
                <w:top w:val="nil"/>
                <w:left w:val="nil"/>
                <w:bottom w:val="nil"/>
                <w:right w:val="nil"/>
                <w:between w:val="nil"/>
              </w:pBdr>
              <w:ind w:firstLine="0"/>
              <w:rPr>
                <w:color w:val="000000"/>
              </w:rPr>
            </w:pPr>
          </w:p>
          <w:p w14:paraId="64D587A7" w14:textId="77777777" w:rsidR="0084507D" w:rsidRDefault="0084507D" w:rsidP="00493BCD">
            <w:pPr>
              <w:pBdr>
                <w:top w:val="nil"/>
                <w:left w:val="nil"/>
                <w:bottom w:val="nil"/>
                <w:right w:val="nil"/>
                <w:between w:val="nil"/>
              </w:pBdr>
              <w:ind w:firstLine="0"/>
              <w:rPr>
                <w:color w:val="000000"/>
              </w:rPr>
            </w:pPr>
            <w:r>
              <w:rPr>
                <w:color w:val="000000"/>
              </w:rPr>
              <w:t>0</w:t>
            </w:r>
          </w:p>
        </w:tc>
        <w:tc>
          <w:tcPr>
            <w:tcW w:w="1534" w:type="dxa"/>
            <w:tcBorders>
              <w:top w:val="single" w:sz="6" w:space="0" w:color="000000"/>
            </w:tcBorders>
          </w:tcPr>
          <w:p w14:paraId="6EC1FE29" w14:textId="77777777" w:rsidR="0084507D" w:rsidRDefault="0084507D" w:rsidP="00493BCD">
            <w:pPr>
              <w:pBdr>
                <w:top w:val="nil"/>
                <w:left w:val="nil"/>
                <w:bottom w:val="nil"/>
                <w:right w:val="nil"/>
                <w:between w:val="nil"/>
              </w:pBdr>
              <w:ind w:firstLine="0"/>
              <w:rPr>
                <w:color w:val="000000"/>
              </w:rPr>
            </w:pPr>
          </w:p>
          <w:p w14:paraId="23406BB3" w14:textId="77777777" w:rsidR="0084507D" w:rsidRDefault="0084507D" w:rsidP="00493BCD">
            <w:pPr>
              <w:pBdr>
                <w:top w:val="nil"/>
                <w:left w:val="nil"/>
                <w:bottom w:val="nil"/>
                <w:right w:val="nil"/>
                <w:between w:val="nil"/>
              </w:pBdr>
              <w:ind w:firstLine="0"/>
              <w:rPr>
                <w:color w:val="000000"/>
              </w:rPr>
            </w:pPr>
            <w:r>
              <w:rPr>
                <w:color w:val="000000"/>
              </w:rPr>
              <w:t>25,778</w:t>
            </w:r>
          </w:p>
        </w:tc>
      </w:tr>
      <w:tr w:rsidR="0084507D" w14:paraId="78C0069F" w14:textId="77777777" w:rsidTr="00493BCD">
        <w:trPr>
          <w:trHeight w:val="757"/>
        </w:trPr>
        <w:tc>
          <w:tcPr>
            <w:tcW w:w="2519" w:type="dxa"/>
          </w:tcPr>
          <w:p w14:paraId="6957477F" w14:textId="77777777" w:rsidR="0084507D" w:rsidRDefault="0084507D" w:rsidP="00493BCD">
            <w:pPr>
              <w:pBdr>
                <w:top w:val="nil"/>
                <w:left w:val="nil"/>
                <w:bottom w:val="nil"/>
                <w:right w:val="nil"/>
                <w:between w:val="nil"/>
              </w:pBdr>
              <w:ind w:firstLine="0"/>
              <w:rPr>
                <w:color w:val="000000"/>
              </w:rPr>
            </w:pPr>
          </w:p>
          <w:p w14:paraId="545EC6C0" w14:textId="77777777" w:rsidR="0084507D" w:rsidRDefault="0084507D" w:rsidP="00493BCD">
            <w:pPr>
              <w:pBdr>
                <w:top w:val="nil"/>
                <w:left w:val="nil"/>
                <w:bottom w:val="nil"/>
                <w:right w:val="nil"/>
                <w:between w:val="nil"/>
              </w:pBdr>
              <w:ind w:firstLine="0"/>
              <w:rPr>
                <w:color w:val="000000"/>
              </w:rPr>
            </w:pPr>
            <w:r>
              <w:rPr>
                <w:color w:val="000000"/>
              </w:rPr>
              <w:t>Total Tweets</w:t>
            </w:r>
          </w:p>
        </w:tc>
        <w:tc>
          <w:tcPr>
            <w:tcW w:w="634" w:type="dxa"/>
          </w:tcPr>
          <w:p w14:paraId="52FB9801" w14:textId="77777777" w:rsidR="0084507D" w:rsidRDefault="0084507D" w:rsidP="00493BCD">
            <w:pPr>
              <w:pBdr>
                <w:top w:val="nil"/>
                <w:left w:val="nil"/>
                <w:bottom w:val="nil"/>
                <w:right w:val="nil"/>
                <w:between w:val="nil"/>
              </w:pBdr>
              <w:ind w:firstLine="0"/>
              <w:rPr>
                <w:color w:val="000000"/>
              </w:rPr>
            </w:pPr>
          </w:p>
          <w:p w14:paraId="1903398E" w14:textId="77777777" w:rsidR="0084507D" w:rsidRDefault="0084507D" w:rsidP="00493BCD">
            <w:pPr>
              <w:pBdr>
                <w:top w:val="nil"/>
                <w:left w:val="nil"/>
                <w:bottom w:val="nil"/>
                <w:right w:val="nil"/>
                <w:between w:val="nil"/>
              </w:pBdr>
              <w:ind w:firstLine="0"/>
              <w:rPr>
                <w:color w:val="000000"/>
              </w:rPr>
            </w:pPr>
            <w:r>
              <w:rPr>
                <w:color w:val="000000"/>
              </w:rPr>
              <w:t>485</w:t>
            </w:r>
          </w:p>
        </w:tc>
        <w:tc>
          <w:tcPr>
            <w:tcW w:w="1335" w:type="dxa"/>
          </w:tcPr>
          <w:p w14:paraId="2BC3B23C" w14:textId="77777777" w:rsidR="0084507D" w:rsidRDefault="0084507D" w:rsidP="00493BCD">
            <w:pPr>
              <w:pBdr>
                <w:top w:val="nil"/>
                <w:left w:val="nil"/>
                <w:bottom w:val="nil"/>
                <w:right w:val="nil"/>
                <w:between w:val="nil"/>
              </w:pBdr>
              <w:ind w:firstLine="0"/>
              <w:rPr>
                <w:color w:val="000000"/>
              </w:rPr>
            </w:pPr>
          </w:p>
          <w:p w14:paraId="0D9983BD" w14:textId="77777777" w:rsidR="0084507D" w:rsidRDefault="0084507D" w:rsidP="00493BCD">
            <w:pPr>
              <w:pBdr>
                <w:top w:val="nil"/>
                <w:left w:val="nil"/>
                <w:bottom w:val="nil"/>
                <w:right w:val="nil"/>
                <w:between w:val="nil"/>
              </w:pBdr>
              <w:ind w:firstLine="0"/>
              <w:rPr>
                <w:color w:val="000000"/>
              </w:rPr>
            </w:pPr>
            <w:r>
              <w:rPr>
                <w:color w:val="000000"/>
              </w:rPr>
              <w:t>0.938</w:t>
            </w:r>
          </w:p>
        </w:tc>
        <w:tc>
          <w:tcPr>
            <w:tcW w:w="1455" w:type="dxa"/>
          </w:tcPr>
          <w:p w14:paraId="555F9844" w14:textId="77777777" w:rsidR="0084507D" w:rsidRDefault="0084507D" w:rsidP="00493BCD">
            <w:pPr>
              <w:pBdr>
                <w:top w:val="nil"/>
                <w:left w:val="nil"/>
                <w:bottom w:val="nil"/>
                <w:right w:val="nil"/>
                <w:between w:val="nil"/>
              </w:pBdr>
              <w:ind w:firstLine="0"/>
              <w:rPr>
                <w:color w:val="000000"/>
              </w:rPr>
            </w:pPr>
          </w:p>
          <w:p w14:paraId="4F6141CB" w14:textId="77777777" w:rsidR="0084507D" w:rsidRDefault="0084507D" w:rsidP="00493BCD">
            <w:pPr>
              <w:pBdr>
                <w:top w:val="nil"/>
                <w:left w:val="nil"/>
                <w:bottom w:val="nil"/>
                <w:right w:val="nil"/>
                <w:between w:val="nil"/>
              </w:pBdr>
              <w:ind w:firstLine="0"/>
              <w:rPr>
                <w:color w:val="000000"/>
              </w:rPr>
            </w:pPr>
            <w:r>
              <w:rPr>
                <w:color w:val="000000"/>
              </w:rPr>
              <w:t>3.171</w:t>
            </w:r>
          </w:p>
        </w:tc>
        <w:tc>
          <w:tcPr>
            <w:tcW w:w="830" w:type="dxa"/>
          </w:tcPr>
          <w:p w14:paraId="6125E176" w14:textId="77777777" w:rsidR="0084507D" w:rsidRDefault="0084507D" w:rsidP="00493BCD">
            <w:pPr>
              <w:pBdr>
                <w:top w:val="nil"/>
                <w:left w:val="nil"/>
                <w:bottom w:val="nil"/>
                <w:right w:val="nil"/>
                <w:between w:val="nil"/>
              </w:pBdr>
              <w:ind w:firstLine="0"/>
              <w:rPr>
                <w:color w:val="000000"/>
              </w:rPr>
            </w:pPr>
          </w:p>
          <w:p w14:paraId="0547481C" w14:textId="77777777" w:rsidR="0084507D" w:rsidRDefault="0084507D" w:rsidP="00493BCD">
            <w:pPr>
              <w:pBdr>
                <w:top w:val="nil"/>
                <w:left w:val="nil"/>
                <w:bottom w:val="nil"/>
                <w:right w:val="nil"/>
                <w:between w:val="nil"/>
              </w:pBdr>
              <w:ind w:firstLine="0"/>
              <w:rPr>
                <w:color w:val="000000"/>
              </w:rPr>
            </w:pPr>
            <w:r>
              <w:rPr>
                <w:color w:val="000000"/>
              </w:rPr>
              <w:t>0</w:t>
            </w:r>
          </w:p>
        </w:tc>
        <w:tc>
          <w:tcPr>
            <w:tcW w:w="1534" w:type="dxa"/>
          </w:tcPr>
          <w:p w14:paraId="1AA5FE4A" w14:textId="77777777" w:rsidR="0084507D" w:rsidRDefault="0084507D" w:rsidP="00493BCD">
            <w:pPr>
              <w:pBdr>
                <w:top w:val="nil"/>
                <w:left w:val="nil"/>
                <w:bottom w:val="nil"/>
                <w:right w:val="nil"/>
                <w:between w:val="nil"/>
              </w:pBdr>
              <w:ind w:firstLine="0"/>
              <w:rPr>
                <w:color w:val="000000"/>
              </w:rPr>
            </w:pPr>
          </w:p>
          <w:p w14:paraId="6D19257C" w14:textId="77777777" w:rsidR="0084507D" w:rsidRDefault="0084507D" w:rsidP="00493BCD">
            <w:pPr>
              <w:pBdr>
                <w:top w:val="nil"/>
                <w:left w:val="nil"/>
                <w:bottom w:val="nil"/>
                <w:right w:val="nil"/>
                <w:between w:val="nil"/>
              </w:pBdr>
              <w:ind w:firstLine="0"/>
              <w:rPr>
                <w:color w:val="000000"/>
              </w:rPr>
            </w:pPr>
            <w:r>
              <w:rPr>
                <w:color w:val="000000"/>
              </w:rPr>
              <w:t>49</w:t>
            </w:r>
          </w:p>
        </w:tc>
      </w:tr>
      <w:tr w:rsidR="0084507D" w14:paraId="11643F23" w14:textId="77777777" w:rsidTr="00493BCD">
        <w:trPr>
          <w:trHeight w:val="757"/>
        </w:trPr>
        <w:tc>
          <w:tcPr>
            <w:tcW w:w="2519" w:type="dxa"/>
          </w:tcPr>
          <w:p w14:paraId="79CAF646" w14:textId="77777777" w:rsidR="0084507D" w:rsidRDefault="0084507D" w:rsidP="00493BCD">
            <w:pPr>
              <w:pBdr>
                <w:top w:val="nil"/>
                <w:left w:val="nil"/>
                <w:bottom w:val="nil"/>
                <w:right w:val="nil"/>
                <w:between w:val="nil"/>
              </w:pBdr>
              <w:ind w:firstLine="0"/>
              <w:rPr>
                <w:color w:val="000000"/>
              </w:rPr>
            </w:pPr>
          </w:p>
          <w:p w14:paraId="7A56C6A6" w14:textId="77777777" w:rsidR="0084507D" w:rsidRDefault="0084507D" w:rsidP="00493BCD">
            <w:pPr>
              <w:pBdr>
                <w:top w:val="nil"/>
                <w:left w:val="nil"/>
                <w:bottom w:val="nil"/>
                <w:right w:val="nil"/>
                <w:between w:val="nil"/>
              </w:pBdr>
              <w:ind w:firstLine="0"/>
              <w:rPr>
                <w:color w:val="000000"/>
              </w:rPr>
            </w:pPr>
            <w:r>
              <w:rPr>
                <w:color w:val="000000"/>
              </w:rPr>
              <w:t>Philanthropy Framing</w:t>
            </w:r>
          </w:p>
        </w:tc>
        <w:tc>
          <w:tcPr>
            <w:tcW w:w="634" w:type="dxa"/>
          </w:tcPr>
          <w:p w14:paraId="6E0FCBCF" w14:textId="77777777" w:rsidR="0084507D" w:rsidRDefault="0084507D" w:rsidP="00493BCD">
            <w:pPr>
              <w:pBdr>
                <w:top w:val="nil"/>
                <w:left w:val="nil"/>
                <w:bottom w:val="nil"/>
                <w:right w:val="nil"/>
                <w:between w:val="nil"/>
              </w:pBdr>
              <w:ind w:firstLine="0"/>
              <w:rPr>
                <w:color w:val="000000"/>
              </w:rPr>
            </w:pPr>
          </w:p>
          <w:p w14:paraId="6F0AA7A0" w14:textId="77777777" w:rsidR="0084507D" w:rsidRDefault="0084507D" w:rsidP="00493BCD">
            <w:pPr>
              <w:pBdr>
                <w:top w:val="nil"/>
                <w:left w:val="nil"/>
                <w:bottom w:val="nil"/>
                <w:right w:val="nil"/>
                <w:between w:val="nil"/>
              </w:pBdr>
              <w:ind w:firstLine="0"/>
              <w:rPr>
                <w:color w:val="000000"/>
              </w:rPr>
            </w:pPr>
            <w:r>
              <w:rPr>
                <w:color w:val="000000"/>
              </w:rPr>
              <w:t>485</w:t>
            </w:r>
          </w:p>
        </w:tc>
        <w:tc>
          <w:tcPr>
            <w:tcW w:w="1335" w:type="dxa"/>
          </w:tcPr>
          <w:p w14:paraId="06CDA6D4" w14:textId="77777777" w:rsidR="0084507D" w:rsidRDefault="0084507D" w:rsidP="00493BCD">
            <w:pPr>
              <w:pBdr>
                <w:top w:val="nil"/>
                <w:left w:val="nil"/>
                <w:bottom w:val="nil"/>
                <w:right w:val="nil"/>
                <w:between w:val="nil"/>
              </w:pBdr>
              <w:ind w:firstLine="0"/>
              <w:rPr>
                <w:color w:val="000000"/>
              </w:rPr>
            </w:pPr>
          </w:p>
          <w:p w14:paraId="1A85D6AE" w14:textId="77777777" w:rsidR="0084507D" w:rsidRDefault="0084507D" w:rsidP="00493BCD">
            <w:pPr>
              <w:pBdr>
                <w:top w:val="nil"/>
                <w:left w:val="nil"/>
                <w:bottom w:val="nil"/>
                <w:right w:val="nil"/>
                <w:between w:val="nil"/>
              </w:pBdr>
              <w:ind w:firstLine="0"/>
              <w:rPr>
                <w:color w:val="000000"/>
              </w:rPr>
            </w:pPr>
            <w:r>
              <w:rPr>
                <w:color w:val="000000"/>
              </w:rPr>
              <w:t>0.645</w:t>
            </w:r>
          </w:p>
        </w:tc>
        <w:tc>
          <w:tcPr>
            <w:tcW w:w="1455" w:type="dxa"/>
          </w:tcPr>
          <w:p w14:paraId="1B898583" w14:textId="77777777" w:rsidR="0084507D" w:rsidRDefault="0084507D" w:rsidP="00493BCD">
            <w:pPr>
              <w:pBdr>
                <w:top w:val="nil"/>
                <w:left w:val="nil"/>
                <w:bottom w:val="nil"/>
                <w:right w:val="nil"/>
                <w:between w:val="nil"/>
              </w:pBdr>
              <w:ind w:firstLine="0"/>
              <w:rPr>
                <w:color w:val="000000"/>
              </w:rPr>
            </w:pPr>
          </w:p>
          <w:p w14:paraId="05D3C431" w14:textId="77777777" w:rsidR="0084507D" w:rsidRDefault="0084507D" w:rsidP="00493BCD">
            <w:pPr>
              <w:pBdr>
                <w:top w:val="nil"/>
                <w:left w:val="nil"/>
                <w:bottom w:val="nil"/>
                <w:right w:val="nil"/>
                <w:between w:val="nil"/>
              </w:pBdr>
              <w:ind w:firstLine="0"/>
              <w:rPr>
                <w:color w:val="000000"/>
              </w:rPr>
            </w:pPr>
            <w:r>
              <w:rPr>
                <w:color w:val="000000"/>
              </w:rPr>
              <w:t>4.707</w:t>
            </w:r>
          </w:p>
        </w:tc>
        <w:tc>
          <w:tcPr>
            <w:tcW w:w="830" w:type="dxa"/>
          </w:tcPr>
          <w:p w14:paraId="281A37DC" w14:textId="77777777" w:rsidR="0084507D" w:rsidRDefault="0084507D" w:rsidP="00493BCD">
            <w:pPr>
              <w:pBdr>
                <w:top w:val="nil"/>
                <w:left w:val="nil"/>
                <w:bottom w:val="nil"/>
                <w:right w:val="nil"/>
                <w:between w:val="nil"/>
              </w:pBdr>
              <w:ind w:firstLine="0"/>
              <w:rPr>
                <w:color w:val="000000"/>
              </w:rPr>
            </w:pPr>
          </w:p>
          <w:p w14:paraId="10DDC545" w14:textId="77777777" w:rsidR="0084507D" w:rsidRDefault="0084507D" w:rsidP="00493BCD">
            <w:pPr>
              <w:pBdr>
                <w:top w:val="nil"/>
                <w:left w:val="nil"/>
                <w:bottom w:val="nil"/>
                <w:right w:val="nil"/>
                <w:between w:val="nil"/>
              </w:pBdr>
              <w:ind w:firstLine="0"/>
              <w:rPr>
                <w:color w:val="000000"/>
              </w:rPr>
            </w:pPr>
            <w:r>
              <w:rPr>
                <w:color w:val="000000"/>
              </w:rPr>
              <w:t>0</w:t>
            </w:r>
          </w:p>
        </w:tc>
        <w:tc>
          <w:tcPr>
            <w:tcW w:w="1534" w:type="dxa"/>
          </w:tcPr>
          <w:p w14:paraId="26E5B372" w14:textId="77777777" w:rsidR="0084507D" w:rsidRDefault="0084507D" w:rsidP="00493BCD">
            <w:pPr>
              <w:pBdr>
                <w:top w:val="nil"/>
                <w:left w:val="nil"/>
                <w:bottom w:val="nil"/>
                <w:right w:val="nil"/>
                <w:between w:val="nil"/>
              </w:pBdr>
              <w:ind w:firstLine="0"/>
              <w:rPr>
                <w:color w:val="000000"/>
              </w:rPr>
            </w:pPr>
          </w:p>
          <w:p w14:paraId="5521EBE9" w14:textId="77777777" w:rsidR="0084507D" w:rsidRDefault="0084507D" w:rsidP="00493BCD">
            <w:pPr>
              <w:pBdr>
                <w:top w:val="nil"/>
                <w:left w:val="nil"/>
                <w:bottom w:val="nil"/>
                <w:right w:val="nil"/>
                <w:between w:val="nil"/>
              </w:pBdr>
              <w:ind w:firstLine="0"/>
              <w:rPr>
                <w:color w:val="000000"/>
              </w:rPr>
            </w:pPr>
            <w:r>
              <w:rPr>
                <w:color w:val="000000"/>
              </w:rPr>
              <w:t>88</w:t>
            </w:r>
          </w:p>
        </w:tc>
      </w:tr>
      <w:tr w:rsidR="0084507D" w14:paraId="61314FE3" w14:textId="77777777" w:rsidTr="00493BCD">
        <w:trPr>
          <w:trHeight w:val="757"/>
        </w:trPr>
        <w:tc>
          <w:tcPr>
            <w:tcW w:w="2519" w:type="dxa"/>
          </w:tcPr>
          <w:p w14:paraId="4DD6CDFF" w14:textId="77777777" w:rsidR="0084507D" w:rsidRDefault="0084507D" w:rsidP="00493BCD">
            <w:pPr>
              <w:pBdr>
                <w:top w:val="nil"/>
                <w:left w:val="nil"/>
                <w:bottom w:val="nil"/>
                <w:right w:val="nil"/>
                <w:between w:val="nil"/>
              </w:pBdr>
              <w:ind w:firstLine="0"/>
              <w:rPr>
                <w:color w:val="000000"/>
              </w:rPr>
            </w:pPr>
          </w:p>
          <w:p w14:paraId="44A996E3" w14:textId="77777777" w:rsidR="0084507D" w:rsidRDefault="0084507D" w:rsidP="00493BCD">
            <w:pPr>
              <w:pBdr>
                <w:top w:val="nil"/>
                <w:left w:val="nil"/>
                <w:bottom w:val="nil"/>
                <w:right w:val="nil"/>
                <w:between w:val="nil"/>
              </w:pBdr>
              <w:ind w:firstLine="0"/>
              <w:rPr>
                <w:color w:val="000000"/>
              </w:rPr>
            </w:pPr>
            <w:r>
              <w:rPr>
                <w:color w:val="000000"/>
              </w:rPr>
              <w:t>Gamification Framing</w:t>
            </w:r>
          </w:p>
        </w:tc>
        <w:tc>
          <w:tcPr>
            <w:tcW w:w="634" w:type="dxa"/>
          </w:tcPr>
          <w:p w14:paraId="390E67D8" w14:textId="77777777" w:rsidR="0084507D" w:rsidRDefault="0084507D" w:rsidP="00493BCD">
            <w:pPr>
              <w:pBdr>
                <w:top w:val="nil"/>
                <w:left w:val="nil"/>
                <w:bottom w:val="nil"/>
                <w:right w:val="nil"/>
                <w:between w:val="nil"/>
              </w:pBdr>
              <w:ind w:firstLine="0"/>
              <w:rPr>
                <w:color w:val="000000"/>
              </w:rPr>
            </w:pPr>
          </w:p>
          <w:p w14:paraId="78B29A17" w14:textId="77777777" w:rsidR="0084507D" w:rsidRDefault="0084507D" w:rsidP="00493BCD">
            <w:pPr>
              <w:pBdr>
                <w:top w:val="nil"/>
                <w:left w:val="nil"/>
                <w:bottom w:val="nil"/>
                <w:right w:val="nil"/>
                <w:between w:val="nil"/>
              </w:pBdr>
              <w:ind w:firstLine="0"/>
              <w:rPr>
                <w:color w:val="000000"/>
              </w:rPr>
            </w:pPr>
            <w:r>
              <w:rPr>
                <w:color w:val="000000"/>
              </w:rPr>
              <w:t>485</w:t>
            </w:r>
          </w:p>
        </w:tc>
        <w:tc>
          <w:tcPr>
            <w:tcW w:w="1335" w:type="dxa"/>
          </w:tcPr>
          <w:p w14:paraId="76CE4F46" w14:textId="77777777" w:rsidR="0084507D" w:rsidRDefault="0084507D" w:rsidP="00493BCD">
            <w:pPr>
              <w:pBdr>
                <w:top w:val="nil"/>
                <w:left w:val="nil"/>
                <w:bottom w:val="nil"/>
                <w:right w:val="nil"/>
                <w:between w:val="nil"/>
              </w:pBdr>
              <w:ind w:firstLine="0"/>
              <w:rPr>
                <w:color w:val="000000"/>
              </w:rPr>
            </w:pPr>
          </w:p>
          <w:p w14:paraId="63C4386C" w14:textId="77777777" w:rsidR="0084507D" w:rsidRDefault="0084507D" w:rsidP="00493BCD">
            <w:pPr>
              <w:pBdr>
                <w:top w:val="nil"/>
                <w:left w:val="nil"/>
                <w:bottom w:val="nil"/>
                <w:right w:val="nil"/>
                <w:between w:val="nil"/>
              </w:pBdr>
              <w:ind w:firstLine="0"/>
              <w:rPr>
                <w:color w:val="000000"/>
              </w:rPr>
            </w:pPr>
            <w:r>
              <w:rPr>
                <w:color w:val="000000"/>
              </w:rPr>
              <w:t>0.876</w:t>
            </w:r>
          </w:p>
        </w:tc>
        <w:tc>
          <w:tcPr>
            <w:tcW w:w="1455" w:type="dxa"/>
          </w:tcPr>
          <w:p w14:paraId="79B57B25" w14:textId="77777777" w:rsidR="0084507D" w:rsidRDefault="0084507D" w:rsidP="00493BCD">
            <w:pPr>
              <w:pBdr>
                <w:top w:val="nil"/>
                <w:left w:val="nil"/>
                <w:bottom w:val="nil"/>
                <w:right w:val="nil"/>
                <w:between w:val="nil"/>
              </w:pBdr>
              <w:ind w:firstLine="0"/>
              <w:rPr>
                <w:color w:val="000000"/>
              </w:rPr>
            </w:pPr>
          </w:p>
          <w:p w14:paraId="42423A92" w14:textId="77777777" w:rsidR="0084507D" w:rsidRDefault="0084507D" w:rsidP="00493BCD">
            <w:pPr>
              <w:pBdr>
                <w:top w:val="nil"/>
                <w:left w:val="nil"/>
                <w:bottom w:val="nil"/>
                <w:right w:val="nil"/>
                <w:between w:val="nil"/>
              </w:pBdr>
              <w:ind w:firstLine="0"/>
              <w:rPr>
                <w:color w:val="000000"/>
              </w:rPr>
            </w:pPr>
            <w:r>
              <w:rPr>
                <w:color w:val="000000"/>
              </w:rPr>
              <w:t>6.316</w:t>
            </w:r>
          </w:p>
        </w:tc>
        <w:tc>
          <w:tcPr>
            <w:tcW w:w="830" w:type="dxa"/>
          </w:tcPr>
          <w:p w14:paraId="01CDBDE6" w14:textId="77777777" w:rsidR="0084507D" w:rsidRDefault="0084507D" w:rsidP="00493BCD">
            <w:pPr>
              <w:pBdr>
                <w:top w:val="nil"/>
                <w:left w:val="nil"/>
                <w:bottom w:val="nil"/>
                <w:right w:val="nil"/>
                <w:between w:val="nil"/>
              </w:pBdr>
              <w:ind w:firstLine="0"/>
              <w:rPr>
                <w:color w:val="000000"/>
              </w:rPr>
            </w:pPr>
          </w:p>
          <w:p w14:paraId="4CFABF46" w14:textId="77777777" w:rsidR="0084507D" w:rsidRDefault="0084507D" w:rsidP="00493BCD">
            <w:pPr>
              <w:pBdr>
                <w:top w:val="nil"/>
                <w:left w:val="nil"/>
                <w:bottom w:val="nil"/>
                <w:right w:val="nil"/>
                <w:between w:val="nil"/>
              </w:pBdr>
              <w:ind w:firstLine="0"/>
              <w:rPr>
                <w:color w:val="000000"/>
              </w:rPr>
            </w:pPr>
            <w:r>
              <w:rPr>
                <w:color w:val="000000"/>
              </w:rPr>
              <w:t>0</w:t>
            </w:r>
          </w:p>
        </w:tc>
        <w:tc>
          <w:tcPr>
            <w:tcW w:w="1534" w:type="dxa"/>
          </w:tcPr>
          <w:p w14:paraId="4A88CC67" w14:textId="77777777" w:rsidR="0084507D" w:rsidRDefault="0084507D" w:rsidP="00493BCD">
            <w:pPr>
              <w:pBdr>
                <w:top w:val="nil"/>
                <w:left w:val="nil"/>
                <w:bottom w:val="nil"/>
                <w:right w:val="nil"/>
                <w:between w:val="nil"/>
              </w:pBdr>
              <w:ind w:firstLine="0"/>
              <w:rPr>
                <w:color w:val="000000"/>
              </w:rPr>
            </w:pPr>
          </w:p>
          <w:p w14:paraId="7D167271" w14:textId="77777777" w:rsidR="0084507D" w:rsidRDefault="0084507D" w:rsidP="00493BCD">
            <w:pPr>
              <w:pBdr>
                <w:top w:val="nil"/>
                <w:left w:val="nil"/>
                <w:bottom w:val="nil"/>
                <w:right w:val="nil"/>
                <w:between w:val="nil"/>
              </w:pBdr>
              <w:ind w:firstLine="0"/>
              <w:rPr>
                <w:color w:val="000000"/>
              </w:rPr>
            </w:pPr>
            <w:r>
              <w:rPr>
                <w:color w:val="000000"/>
              </w:rPr>
              <w:t>126</w:t>
            </w:r>
          </w:p>
        </w:tc>
      </w:tr>
      <w:tr w:rsidR="0084507D" w14:paraId="5D2A28A0" w14:textId="77777777" w:rsidTr="00493BCD">
        <w:trPr>
          <w:trHeight w:val="757"/>
        </w:trPr>
        <w:tc>
          <w:tcPr>
            <w:tcW w:w="2519" w:type="dxa"/>
          </w:tcPr>
          <w:p w14:paraId="3BD2949A" w14:textId="77777777" w:rsidR="0084507D" w:rsidRDefault="0084507D" w:rsidP="00493BCD">
            <w:pPr>
              <w:pBdr>
                <w:top w:val="nil"/>
                <w:left w:val="nil"/>
                <w:bottom w:val="nil"/>
                <w:right w:val="nil"/>
                <w:between w:val="nil"/>
              </w:pBdr>
              <w:ind w:firstLine="0"/>
              <w:rPr>
                <w:color w:val="000000"/>
              </w:rPr>
            </w:pPr>
          </w:p>
          <w:p w14:paraId="189BA952" w14:textId="77777777" w:rsidR="0084507D" w:rsidRDefault="0084507D" w:rsidP="00493BCD">
            <w:pPr>
              <w:pBdr>
                <w:top w:val="nil"/>
                <w:left w:val="nil"/>
                <w:bottom w:val="nil"/>
                <w:right w:val="nil"/>
                <w:between w:val="nil"/>
              </w:pBdr>
              <w:ind w:firstLine="0"/>
              <w:rPr>
                <w:color w:val="000000"/>
              </w:rPr>
            </w:pPr>
            <w:r>
              <w:rPr>
                <w:color w:val="000000"/>
              </w:rPr>
              <w:t>Crowdfunding Framing</w:t>
            </w:r>
          </w:p>
        </w:tc>
        <w:tc>
          <w:tcPr>
            <w:tcW w:w="634" w:type="dxa"/>
          </w:tcPr>
          <w:p w14:paraId="26BB6C4F" w14:textId="77777777" w:rsidR="0084507D" w:rsidRDefault="0084507D" w:rsidP="00493BCD">
            <w:pPr>
              <w:pBdr>
                <w:top w:val="nil"/>
                <w:left w:val="nil"/>
                <w:bottom w:val="nil"/>
                <w:right w:val="nil"/>
                <w:between w:val="nil"/>
              </w:pBdr>
              <w:ind w:firstLine="0"/>
              <w:rPr>
                <w:color w:val="000000"/>
              </w:rPr>
            </w:pPr>
          </w:p>
          <w:p w14:paraId="7F36CB0B" w14:textId="77777777" w:rsidR="0084507D" w:rsidRDefault="0084507D" w:rsidP="00493BCD">
            <w:pPr>
              <w:pBdr>
                <w:top w:val="nil"/>
                <w:left w:val="nil"/>
                <w:bottom w:val="nil"/>
                <w:right w:val="nil"/>
                <w:between w:val="nil"/>
              </w:pBdr>
              <w:ind w:firstLine="0"/>
              <w:rPr>
                <w:color w:val="000000"/>
              </w:rPr>
            </w:pPr>
            <w:r>
              <w:rPr>
                <w:color w:val="000000"/>
              </w:rPr>
              <w:t>485</w:t>
            </w:r>
          </w:p>
        </w:tc>
        <w:tc>
          <w:tcPr>
            <w:tcW w:w="1335" w:type="dxa"/>
          </w:tcPr>
          <w:p w14:paraId="7418559C" w14:textId="77777777" w:rsidR="0084507D" w:rsidRDefault="0084507D" w:rsidP="00493BCD">
            <w:pPr>
              <w:pBdr>
                <w:top w:val="nil"/>
                <w:left w:val="nil"/>
                <w:bottom w:val="nil"/>
                <w:right w:val="nil"/>
                <w:between w:val="nil"/>
              </w:pBdr>
              <w:ind w:firstLine="0"/>
              <w:rPr>
                <w:color w:val="000000"/>
              </w:rPr>
            </w:pPr>
          </w:p>
          <w:p w14:paraId="6499422C" w14:textId="77777777" w:rsidR="0084507D" w:rsidRDefault="0084507D" w:rsidP="00493BCD">
            <w:pPr>
              <w:pBdr>
                <w:top w:val="nil"/>
                <w:left w:val="nil"/>
                <w:bottom w:val="nil"/>
                <w:right w:val="nil"/>
                <w:between w:val="nil"/>
              </w:pBdr>
              <w:ind w:firstLine="0"/>
              <w:rPr>
                <w:color w:val="000000"/>
              </w:rPr>
            </w:pPr>
            <w:r>
              <w:rPr>
                <w:color w:val="000000"/>
              </w:rPr>
              <w:t>0.614</w:t>
            </w:r>
          </w:p>
        </w:tc>
        <w:tc>
          <w:tcPr>
            <w:tcW w:w="1455" w:type="dxa"/>
          </w:tcPr>
          <w:p w14:paraId="668C7F9A" w14:textId="77777777" w:rsidR="0084507D" w:rsidRDefault="0084507D" w:rsidP="00493BCD">
            <w:pPr>
              <w:pBdr>
                <w:top w:val="nil"/>
                <w:left w:val="nil"/>
                <w:bottom w:val="nil"/>
                <w:right w:val="nil"/>
                <w:between w:val="nil"/>
              </w:pBdr>
              <w:ind w:firstLine="0"/>
              <w:rPr>
                <w:color w:val="000000"/>
              </w:rPr>
            </w:pPr>
          </w:p>
          <w:p w14:paraId="37082D2F" w14:textId="77777777" w:rsidR="0084507D" w:rsidRDefault="0084507D" w:rsidP="00493BCD">
            <w:pPr>
              <w:pBdr>
                <w:top w:val="nil"/>
                <w:left w:val="nil"/>
                <w:bottom w:val="nil"/>
                <w:right w:val="nil"/>
                <w:between w:val="nil"/>
              </w:pBdr>
              <w:ind w:firstLine="0"/>
              <w:rPr>
                <w:color w:val="000000"/>
              </w:rPr>
            </w:pPr>
            <w:r>
              <w:rPr>
                <w:color w:val="000000"/>
              </w:rPr>
              <w:t>4.544</w:t>
            </w:r>
          </w:p>
        </w:tc>
        <w:tc>
          <w:tcPr>
            <w:tcW w:w="830" w:type="dxa"/>
          </w:tcPr>
          <w:p w14:paraId="4FBA2FAD" w14:textId="77777777" w:rsidR="0084507D" w:rsidRDefault="0084507D" w:rsidP="00493BCD">
            <w:pPr>
              <w:pBdr>
                <w:top w:val="nil"/>
                <w:left w:val="nil"/>
                <w:bottom w:val="nil"/>
                <w:right w:val="nil"/>
                <w:between w:val="nil"/>
              </w:pBdr>
              <w:ind w:firstLine="0"/>
              <w:rPr>
                <w:color w:val="000000"/>
              </w:rPr>
            </w:pPr>
          </w:p>
          <w:p w14:paraId="34C3E441" w14:textId="77777777" w:rsidR="0084507D" w:rsidRDefault="0084507D" w:rsidP="00493BCD">
            <w:pPr>
              <w:pBdr>
                <w:top w:val="nil"/>
                <w:left w:val="nil"/>
                <w:bottom w:val="nil"/>
                <w:right w:val="nil"/>
                <w:between w:val="nil"/>
              </w:pBdr>
              <w:ind w:firstLine="0"/>
              <w:rPr>
                <w:color w:val="000000"/>
              </w:rPr>
            </w:pPr>
            <w:r>
              <w:rPr>
                <w:color w:val="000000"/>
              </w:rPr>
              <w:t>0</w:t>
            </w:r>
          </w:p>
        </w:tc>
        <w:tc>
          <w:tcPr>
            <w:tcW w:w="1534" w:type="dxa"/>
          </w:tcPr>
          <w:p w14:paraId="5A185460" w14:textId="77777777" w:rsidR="0084507D" w:rsidRDefault="0084507D" w:rsidP="00493BCD">
            <w:pPr>
              <w:pBdr>
                <w:top w:val="nil"/>
                <w:left w:val="nil"/>
                <w:bottom w:val="nil"/>
                <w:right w:val="nil"/>
                <w:between w:val="nil"/>
              </w:pBdr>
              <w:ind w:firstLine="0"/>
              <w:rPr>
                <w:color w:val="000000"/>
              </w:rPr>
            </w:pPr>
          </w:p>
          <w:p w14:paraId="7269BAA4" w14:textId="77777777" w:rsidR="0084507D" w:rsidRDefault="0084507D" w:rsidP="00493BCD">
            <w:pPr>
              <w:pBdr>
                <w:top w:val="nil"/>
                <w:left w:val="nil"/>
                <w:bottom w:val="nil"/>
                <w:right w:val="nil"/>
                <w:between w:val="nil"/>
              </w:pBdr>
              <w:ind w:firstLine="0"/>
              <w:rPr>
                <w:color w:val="000000"/>
              </w:rPr>
            </w:pPr>
            <w:r>
              <w:rPr>
                <w:color w:val="000000"/>
              </w:rPr>
              <w:t>87</w:t>
            </w:r>
          </w:p>
        </w:tc>
      </w:tr>
      <w:tr w:rsidR="0084507D" w14:paraId="688C16CE" w14:textId="77777777" w:rsidTr="00493BCD">
        <w:trPr>
          <w:trHeight w:val="757"/>
        </w:trPr>
        <w:tc>
          <w:tcPr>
            <w:tcW w:w="2519" w:type="dxa"/>
          </w:tcPr>
          <w:p w14:paraId="3565767D" w14:textId="77777777" w:rsidR="0084507D" w:rsidRDefault="0084507D" w:rsidP="00493BCD">
            <w:pPr>
              <w:pBdr>
                <w:top w:val="nil"/>
                <w:left w:val="nil"/>
                <w:bottom w:val="nil"/>
                <w:right w:val="nil"/>
                <w:between w:val="nil"/>
              </w:pBdr>
              <w:ind w:firstLine="0"/>
              <w:rPr>
                <w:color w:val="000000"/>
              </w:rPr>
            </w:pPr>
          </w:p>
          <w:p w14:paraId="107F76A0" w14:textId="77777777" w:rsidR="0084507D" w:rsidRDefault="0084507D" w:rsidP="00493BCD">
            <w:pPr>
              <w:pBdr>
                <w:top w:val="nil"/>
                <w:left w:val="nil"/>
                <w:bottom w:val="nil"/>
                <w:right w:val="nil"/>
                <w:between w:val="nil"/>
              </w:pBdr>
              <w:ind w:firstLine="0"/>
              <w:rPr>
                <w:color w:val="000000"/>
              </w:rPr>
            </w:pPr>
            <w:r>
              <w:rPr>
                <w:color w:val="000000"/>
              </w:rPr>
              <w:t>Unrestricted Funds</w:t>
            </w:r>
          </w:p>
        </w:tc>
        <w:tc>
          <w:tcPr>
            <w:tcW w:w="634" w:type="dxa"/>
          </w:tcPr>
          <w:p w14:paraId="04F68A1B" w14:textId="77777777" w:rsidR="0084507D" w:rsidRDefault="0084507D" w:rsidP="00493BCD">
            <w:pPr>
              <w:pBdr>
                <w:top w:val="nil"/>
                <w:left w:val="nil"/>
                <w:bottom w:val="nil"/>
                <w:right w:val="nil"/>
                <w:between w:val="nil"/>
              </w:pBdr>
              <w:ind w:firstLine="0"/>
              <w:rPr>
                <w:color w:val="000000"/>
              </w:rPr>
            </w:pPr>
          </w:p>
          <w:p w14:paraId="011CE735" w14:textId="77777777" w:rsidR="0084507D" w:rsidRDefault="0084507D" w:rsidP="00493BCD">
            <w:pPr>
              <w:pBdr>
                <w:top w:val="nil"/>
                <w:left w:val="nil"/>
                <w:bottom w:val="nil"/>
                <w:right w:val="nil"/>
                <w:between w:val="nil"/>
              </w:pBdr>
              <w:ind w:firstLine="0"/>
              <w:rPr>
                <w:color w:val="000000"/>
              </w:rPr>
            </w:pPr>
            <w:r>
              <w:rPr>
                <w:color w:val="000000"/>
              </w:rPr>
              <w:t>468</w:t>
            </w:r>
          </w:p>
        </w:tc>
        <w:tc>
          <w:tcPr>
            <w:tcW w:w="1335" w:type="dxa"/>
          </w:tcPr>
          <w:p w14:paraId="4CDE94F9" w14:textId="77777777" w:rsidR="0084507D" w:rsidRDefault="0084507D" w:rsidP="00493BCD">
            <w:pPr>
              <w:pBdr>
                <w:top w:val="nil"/>
                <w:left w:val="nil"/>
                <w:bottom w:val="nil"/>
                <w:right w:val="nil"/>
                <w:between w:val="nil"/>
              </w:pBdr>
              <w:ind w:firstLine="0"/>
              <w:rPr>
                <w:color w:val="000000"/>
              </w:rPr>
            </w:pPr>
          </w:p>
          <w:p w14:paraId="1206018F" w14:textId="77777777" w:rsidR="0084507D" w:rsidRDefault="0084507D" w:rsidP="00493BCD">
            <w:pPr>
              <w:pBdr>
                <w:top w:val="nil"/>
                <w:left w:val="nil"/>
                <w:bottom w:val="nil"/>
                <w:right w:val="nil"/>
                <w:between w:val="nil"/>
              </w:pBdr>
              <w:ind w:firstLine="0"/>
              <w:rPr>
                <w:color w:val="000000"/>
              </w:rPr>
            </w:pPr>
            <w:r>
              <w:rPr>
                <w:color w:val="000000"/>
              </w:rPr>
              <w:t>1.489e+06</w:t>
            </w:r>
          </w:p>
        </w:tc>
        <w:tc>
          <w:tcPr>
            <w:tcW w:w="1455" w:type="dxa"/>
          </w:tcPr>
          <w:p w14:paraId="0B767583" w14:textId="77777777" w:rsidR="0084507D" w:rsidRDefault="0084507D" w:rsidP="00493BCD">
            <w:pPr>
              <w:pBdr>
                <w:top w:val="nil"/>
                <w:left w:val="nil"/>
                <w:bottom w:val="nil"/>
                <w:right w:val="nil"/>
                <w:between w:val="nil"/>
              </w:pBdr>
              <w:ind w:firstLine="0"/>
              <w:rPr>
                <w:color w:val="000000"/>
              </w:rPr>
            </w:pPr>
          </w:p>
          <w:p w14:paraId="5A86DCA8" w14:textId="77777777" w:rsidR="0084507D" w:rsidRDefault="0084507D" w:rsidP="00493BCD">
            <w:pPr>
              <w:pBdr>
                <w:top w:val="nil"/>
                <w:left w:val="nil"/>
                <w:bottom w:val="nil"/>
                <w:right w:val="nil"/>
                <w:between w:val="nil"/>
              </w:pBdr>
              <w:ind w:firstLine="0"/>
              <w:rPr>
                <w:color w:val="000000"/>
              </w:rPr>
            </w:pPr>
            <w:r>
              <w:rPr>
                <w:color w:val="000000"/>
              </w:rPr>
              <w:t>7.216e+06</w:t>
            </w:r>
          </w:p>
        </w:tc>
        <w:tc>
          <w:tcPr>
            <w:tcW w:w="830" w:type="dxa"/>
          </w:tcPr>
          <w:p w14:paraId="02CC1079" w14:textId="77777777" w:rsidR="0084507D" w:rsidRDefault="0084507D" w:rsidP="00493BCD">
            <w:pPr>
              <w:pBdr>
                <w:top w:val="nil"/>
                <w:left w:val="nil"/>
                <w:bottom w:val="nil"/>
                <w:right w:val="nil"/>
                <w:between w:val="nil"/>
              </w:pBdr>
              <w:ind w:firstLine="0"/>
              <w:rPr>
                <w:color w:val="000000"/>
              </w:rPr>
            </w:pPr>
          </w:p>
          <w:p w14:paraId="69A09399" w14:textId="77777777" w:rsidR="0084507D" w:rsidRDefault="0084507D" w:rsidP="00493BCD">
            <w:pPr>
              <w:pBdr>
                <w:top w:val="nil"/>
                <w:left w:val="nil"/>
                <w:bottom w:val="nil"/>
                <w:right w:val="nil"/>
                <w:between w:val="nil"/>
              </w:pBdr>
              <w:ind w:firstLine="0"/>
              <w:rPr>
                <w:color w:val="000000"/>
              </w:rPr>
            </w:pPr>
            <w:r>
              <w:rPr>
                <w:color w:val="000000"/>
              </w:rPr>
              <w:t>0</w:t>
            </w:r>
          </w:p>
        </w:tc>
        <w:tc>
          <w:tcPr>
            <w:tcW w:w="1534" w:type="dxa"/>
          </w:tcPr>
          <w:p w14:paraId="504B43C7" w14:textId="77777777" w:rsidR="0084507D" w:rsidRDefault="0084507D" w:rsidP="00493BCD">
            <w:pPr>
              <w:pBdr>
                <w:top w:val="nil"/>
                <w:left w:val="nil"/>
                <w:bottom w:val="nil"/>
                <w:right w:val="nil"/>
                <w:between w:val="nil"/>
              </w:pBdr>
              <w:ind w:firstLine="0"/>
              <w:rPr>
                <w:color w:val="000000"/>
              </w:rPr>
            </w:pPr>
          </w:p>
          <w:p w14:paraId="7274090C" w14:textId="77777777" w:rsidR="0084507D" w:rsidRDefault="0084507D" w:rsidP="00493BCD">
            <w:pPr>
              <w:pBdr>
                <w:top w:val="nil"/>
                <w:left w:val="nil"/>
                <w:bottom w:val="nil"/>
                <w:right w:val="nil"/>
                <w:between w:val="nil"/>
              </w:pBdr>
              <w:ind w:firstLine="0"/>
              <w:rPr>
                <w:color w:val="000000"/>
              </w:rPr>
            </w:pPr>
            <w:r>
              <w:rPr>
                <w:color w:val="000000"/>
              </w:rPr>
              <w:t>1.000e+08</w:t>
            </w:r>
          </w:p>
        </w:tc>
      </w:tr>
      <w:tr w:rsidR="0084507D" w14:paraId="492D115B" w14:textId="77777777" w:rsidTr="00493BCD">
        <w:trPr>
          <w:trHeight w:val="561"/>
        </w:trPr>
        <w:tc>
          <w:tcPr>
            <w:tcW w:w="2519" w:type="dxa"/>
          </w:tcPr>
          <w:p w14:paraId="6153CA01" w14:textId="77777777" w:rsidR="0084507D" w:rsidRDefault="0084507D" w:rsidP="00493BCD">
            <w:pPr>
              <w:pBdr>
                <w:top w:val="nil"/>
                <w:left w:val="nil"/>
                <w:bottom w:val="nil"/>
                <w:right w:val="nil"/>
                <w:between w:val="nil"/>
              </w:pBdr>
              <w:ind w:firstLine="0"/>
              <w:rPr>
                <w:color w:val="000000"/>
              </w:rPr>
            </w:pPr>
          </w:p>
          <w:p w14:paraId="66797B27" w14:textId="77777777" w:rsidR="0084507D" w:rsidRDefault="0084507D" w:rsidP="00493BCD">
            <w:pPr>
              <w:pBdr>
                <w:top w:val="nil"/>
                <w:left w:val="nil"/>
                <w:bottom w:val="nil"/>
                <w:right w:val="nil"/>
                <w:between w:val="nil"/>
              </w:pBdr>
              <w:ind w:firstLine="0"/>
              <w:rPr>
                <w:color w:val="000000"/>
              </w:rPr>
            </w:pPr>
            <w:r>
              <w:rPr>
                <w:color w:val="000000"/>
              </w:rPr>
              <w:t>Fundraising Expenses</w:t>
            </w:r>
          </w:p>
        </w:tc>
        <w:tc>
          <w:tcPr>
            <w:tcW w:w="634" w:type="dxa"/>
          </w:tcPr>
          <w:p w14:paraId="5D766B7F" w14:textId="77777777" w:rsidR="0084507D" w:rsidRDefault="0084507D" w:rsidP="00493BCD">
            <w:pPr>
              <w:pBdr>
                <w:top w:val="nil"/>
                <w:left w:val="nil"/>
                <w:bottom w:val="nil"/>
                <w:right w:val="nil"/>
                <w:between w:val="nil"/>
              </w:pBdr>
              <w:ind w:firstLine="0"/>
              <w:rPr>
                <w:color w:val="000000"/>
              </w:rPr>
            </w:pPr>
          </w:p>
          <w:p w14:paraId="2306C94B" w14:textId="77777777" w:rsidR="0084507D" w:rsidRDefault="0084507D" w:rsidP="00493BCD">
            <w:pPr>
              <w:pBdr>
                <w:top w:val="nil"/>
                <w:left w:val="nil"/>
                <w:bottom w:val="nil"/>
                <w:right w:val="nil"/>
                <w:between w:val="nil"/>
              </w:pBdr>
              <w:ind w:firstLine="0"/>
              <w:rPr>
                <w:color w:val="000000"/>
              </w:rPr>
            </w:pPr>
            <w:r>
              <w:rPr>
                <w:color w:val="000000"/>
              </w:rPr>
              <w:t>477</w:t>
            </w:r>
          </w:p>
        </w:tc>
        <w:tc>
          <w:tcPr>
            <w:tcW w:w="1335" w:type="dxa"/>
          </w:tcPr>
          <w:p w14:paraId="56651A23" w14:textId="77777777" w:rsidR="0084507D" w:rsidRDefault="0084507D" w:rsidP="00493BCD">
            <w:pPr>
              <w:pBdr>
                <w:top w:val="nil"/>
                <w:left w:val="nil"/>
                <w:bottom w:val="nil"/>
                <w:right w:val="nil"/>
                <w:between w:val="nil"/>
              </w:pBdr>
              <w:ind w:firstLine="0"/>
              <w:rPr>
                <w:color w:val="000000"/>
              </w:rPr>
            </w:pPr>
          </w:p>
          <w:p w14:paraId="7FA88D06" w14:textId="77777777" w:rsidR="0084507D" w:rsidRDefault="0084507D" w:rsidP="00493BCD">
            <w:pPr>
              <w:pBdr>
                <w:top w:val="nil"/>
                <w:left w:val="nil"/>
                <w:bottom w:val="nil"/>
                <w:right w:val="nil"/>
                <w:between w:val="nil"/>
              </w:pBdr>
              <w:ind w:firstLine="0"/>
              <w:rPr>
                <w:color w:val="000000"/>
              </w:rPr>
            </w:pPr>
            <w:r>
              <w:rPr>
                <w:color w:val="000000"/>
              </w:rPr>
              <w:t>513,215</w:t>
            </w:r>
          </w:p>
        </w:tc>
        <w:tc>
          <w:tcPr>
            <w:tcW w:w="1455" w:type="dxa"/>
          </w:tcPr>
          <w:p w14:paraId="003716FF" w14:textId="77777777" w:rsidR="0084507D" w:rsidRDefault="0084507D" w:rsidP="00493BCD">
            <w:pPr>
              <w:pBdr>
                <w:top w:val="nil"/>
                <w:left w:val="nil"/>
                <w:bottom w:val="nil"/>
                <w:right w:val="nil"/>
                <w:between w:val="nil"/>
              </w:pBdr>
              <w:ind w:firstLine="0"/>
              <w:rPr>
                <w:color w:val="000000"/>
              </w:rPr>
            </w:pPr>
          </w:p>
          <w:p w14:paraId="5C79D2D5" w14:textId="77777777" w:rsidR="0084507D" w:rsidRDefault="0084507D" w:rsidP="00493BCD">
            <w:pPr>
              <w:pBdr>
                <w:top w:val="nil"/>
                <w:left w:val="nil"/>
                <w:bottom w:val="nil"/>
                <w:right w:val="nil"/>
                <w:between w:val="nil"/>
              </w:pBdr>
              <w:ind w:firstLine="0"/>
              <w:rPr>
                <w:color w:val="000000"/>
              </w:rPr>
            </w:pPr>
            <w:r>
              <w:rPr>
                <w:color w:val="000000"/>
              </w:rPr>
              <w:t>3.763e+06</w:t>
            </w:r>
          </w:p>
        </w:tc>
        <w:tc>
          <w:tcPr>
            <w:tcW w:w="830" w:type="dxa"/>
          </w:tcPr>
          <w:p w14:paraId="489A16F0" w14:textId="77777777" w:rsidR="0084507D" w:rsidRDefault="0084507D" w:rsidP="00493BCD">
            <w:pPr>
              <w:pBdr>
                <w:top w:val="nil"/>
                <w:left w:val="nil"/>
                <w:bottom w:val="nil"/>
                <w:right w:val="nil"/>
                <w:between w:val="nil"/>
              </w:pBdr>
              <w:ind w:firstLine="0"/>
              <w:rPr>
                <w:color w:val="000000"/>
              </w:rPr>
            </w:pPr>
          </w:p>
          <w:p w14:paraId="5A6ECA14" w14:textId="77777777" w:rsidR="0084507D" w:rsidRDefault="0084507D" w:rsidP="00493BCD">
            <w:pPr>
              <w:pBdr>
                <w:top w:val="nil"/>
                <w:left w:val="nil"/>
                <w:bottom w:val="nil"/>
                <w:right w:val="nil"/>
                <w:between w:val="nil"/>
              </w:pBdr>
              <w:ind w:firstLine="0"/>
              <w:rPr>
                <w:color w:val="000000"/>
              </w:rPr>
            </w:pPr>
            <w:r>
              <w:rPr>
                <w:color w:val="000000"/>
              </w:rPr>
              <w:t>0</w:t>
            </w:r>
          </w:p>
        </w:tc>
        <w:tc>
          <w:tcPr>
            <w:tcW w:w="1534" w:type="dxa"/>
          </w:tcPr>
          <w:p w14:paraId="674B59C0" w14:textId="77777777" w:rsidR="0084507D" w:rsidRDefault="0084507D" w:rsidP="00493BCD">
            <w:pPr>
              <w:pBdr>
                <w:top w:val="nil"/>
                <w:left w:val="nil"/>
                <w:bottom w:val="nil"/>
                <w:right w:val="nil"/>
                <w:between w:val="nil"/>
              </w:pBdr>
              <w:ind w:firstLine="0"/>
              <w:rPr>
                <w:color w:val="000000"/>
              </w:rPr>
            </w:pPr>
          </w:p>
          <w:p w14:paraId="50BEF796" w14:textId="77777777" w:rsidR="0084507D" w:rsidRDefault="0084507D" w:rsidP="00493BCD">
            <w:pPr>
              <w:pBdr>
                <w:top w:val="nil"/>
                <w:left w:val="nil"/>
                <w:bottom w:val="nil"/>
                <w:right w:val="nil"/>
                <w:between w:val="nil"/>
              </w:pBdr>
              <w:ind w:firstLine="0"/>
              <w:rPr>
                <w:color w:val="000000"/>
              </w:rPr>
            </w:pPr>
            <w:r>
              <w:rPr>
                <w:color w:val="000000"/>
              </w:rPr>
              <w:t>5.000e+07</w:t>
            </w:r>
          </w:p>
        </w:tc>
      </w:tr>
    </w:tbl>
    <w:p w14:paraId="000000C6" w14:textId="77777777" w:rsidR="00165A52" w:rsidRDefault="00165A52"/>
    <w:p w14:paraId="000000C7" w14:textId="77777777" w:rsidR="00165A52" w:rsidRDefault="00165A52"/>
    <w:p w14:paraId="000000C8" w14:textId="77777777" w:rsidR="00165A52" w:rsidRDefault="00165A52"/>
    <w:p w14:paraId="000000C9" w14:textId="77777777" w:rsidR="00165A52" w:rsidRDefault="00165A52"/>
    <w:p w14:paraId="000000CA" w14:textId="77777777" w:rsidR="00165A52" w:rsidRDefault="00165A52"/>
    <w:p w14:paraId="000000CB" w14:textId="77777777" w:rsidR="00165A52" w:rsidRDefault="00165A52"/>
    <w:p w14:paraId="000000CC" w14:textId="77777777" w:rsidR="00165A52" w:rsidRDefault="00165A52"/>
    <w:p w14:paraId="000000CD" w14:textId="77777777" w:rsidR="00165A52" w:rsidRDefault="00165A52"/>
    <w:p w14:paraId="000000CE" w14:textId="77777777" w:rsidR="00165A52" w:rsidRDefault="00165A52"/>
    <w:p w14:paraId="000000CF" w14:textId="77777777" w:rsidR="00165A52" w:rsidRDefault="00165A52"/>
    <w:p w14:paraId="000000D0" w14:textId="77777777" w:rsidR="00165A52" w:rsidRDefault="00165A52">
      <w:pPr>
        <w:sectPr w:rsidR="00165A52" w:rsidSect="0084507D">
          <w:pgSz w:w="12240" w:h="15840"/>
          <w:pgMar w:top="1440" w:right="1440" w:bottom="1440" w:left="1440" w:header="184" w:footer="975" w:gutter="0"/>
          <w:cols w:space="720"/>
          <w:docGrid w:linePitch="326"/>
        </w:sectPr>
      </w:pPr>
    </w:p>
    <w:p w14:paraId="000000D1" w14:textId="77777777" w:rsidR="00165A52" w:rsidRDefault="00165A52">
      <w:pPr>
        <w:pBdr>
          <w:top w:val="nil"/>
          <w:left w:val="nil"/>
          <w:bottom w:val="nil"/>
          <w:right w:val="nil"/>
          <w:between w:val="nil"/>
        </w:pBdr>
        <w:ind w:left="160" w:firstLine="560"/>
        <w:rPr>
          <w:color w:val="000000"/>
        </w:rPr>
      </w:pPr>
    </w:p>
    <w:p w14:paraId="000000D2" w14:textId="77777777" w:rsidR="00165A52" w:rsidRDefault="00165A52">
      <w:pPr>
        <w:pBdr>
          <w:top w:val="nil"/>
          <w:left w:val="nil"/>
          <w:bottom w:val="nil"/>
          <w:right w:val="nil"/>
          <w:between w:val="nil"/>
        </w:pBdr>
        <w:ind w:left="160" w:firstLine="560"/>
        <w:rPr>
          <w:color w:val="000000"/>
        </w:rPr>
      </w:pPr>
    </w:p>
    <w:p w14:paraId="000000D3" w14:textId="77777777" w:rsidR="00165A52" w:rsidRDefault="00165A52">
      <w:pPr>
        <w:pBdr>
          <w:top w:val="nil"/>
          <w:left w:val="nil"/>
          <w:bottom w:val="nil"/>
          <w:right w:val="nil"/>
          <w:between w:val="nil"/>
        </w:pBdr>
        <w:ind w:left="160" w:firstLine="560"/>
        <w:rPr>
          <w:color w:val="000000"/>
        </w:rPr>
      </w:pPr>
    </w:p>
    <w:p w14:paraId="000000D4" w14:textId="77777777" w:rsidR="00165A52" w:rsidRDefault="00165A52">
      <w:pPr>
        <w:pBdr>
          <w:top w:val="nil"/>
          <w:left w:val="nil"/>
          <w:bottom w:val="nil"/>
          <w:right w:val="nil"/>
          <w:between w:val="nil"/>
        </w:pBdr>
        <w:ind w:left="160" w:firstLine="560"/>
        <w:rPr>
          <w:color w:val="000000"/>
        </w:rPr>
      </w:pPr>
    </w:p>
    <w:tbl>
      <w:tblPr>
        <w:tblStyle w:val="a"/>
        <w:tblW w:w="5276" w:type="dxa"/>
        <w:tblInd w:w="117" w:type="dxa"/>
        <w:tblLayout w:type="fixed"/>
        <w:tblLook w:val="0000" w:firstRow="0" w:lastRow="0" w:firstColumn="0" w:lastColumn="0" w:noHBand="0" w:noVBand="0"/>
      </w:tblPr>
      <w:tblGrid>
        <w:gridCol w:w="5276"/>
      </w:tblGrid>
      <w:tr w:rsidR="00165A52" w14:paraId="26E562F5" w14:textId="77777777">
        <w:trPr>
          <w:trHeight w:val="480"/>
        </w:trPr>
        <w:tc>
          <w:tcPr>
            <w:tcW w:w="5276" w:type="dxa"/>
          </w:tcPr>
          <w:p w14:paraId="000000D5" w14:textId="24FF9605" w:rsidR="00165A52" w:rsidRDefault="00B02078" w:rsidP="0084507D">
            <w:pPr>
              <w:pBdr>
                <w:top w:val="nil"/>
                <w:left w:val="nil"/>
                <w:bottom w:val="nil"/>
                <w:right w:val="nil"/>
                <w:between w:val="nil"/>
              </w:pBdr>
              <w:spacing w:before="55"/>
              <w:ind w:firstLine="0"/>
              <w:rPr>
                <w:color w:val="000000"/>
              </w:rPr>
            </w:pPr>
            <w:r>
              <w:rPr>
                <w:color w:val="000000"/>
              </w:rPr>
              <w:t xml:space="preserve">Table 3: The </w:t>
            </w:r>
            <w:r w:rsidR="003A2B80">
              <w:rPr>
                <w:color w:val="000000"/>
              </w:rPr>
              <w:t>S</w:t>
            </w:r>
            <w:r>
              <w:rPr>
                <w:color w:val="000000"/>
              </w:rPr>
              <w:t>ignificance of Tweeting</w:t>
            </w:r>
          </w:p>
        </w:tc>
      </w:tr>
      <w:tr w:rsidR="00165A52" w14:paraId="491212CA" w14:textId="77777777">
        <w:trPr>
          <w:trHeight w:val="294"/>
        </w:trPr>
        <w:tc>
          <w:tcPr>
            <w:tcW w:w="5276" w:type="dxa"/>
          </w:tcPr>
          <w:p w14:paraId="000000D6" w14:textId="77777777" w:rsidR="00165A52" w:rsidRDefault="00B02078">
            <w:pPr>
              <w:pBdr>
                <w:top w:val="nil"/>
                <w:left w:val="nil"/>
                <w:bottom w:val="nil"/>
                <w:right w:val="nil"/>
                <w:between w:val="nil"/>
              </w:pBdr>
              <w:tabs>
                <w:tab w:val="left" w:pos="4033"/>
              </w:tabs>
              <w:spacing w:before="73" w:line="201" w:lineRule="auto"/>
              <w:ind w:left="577" w:firstLine="719"/>
              <w:rPr>
                <w:color w:val="000000"/>
              </w:rPr>
            </w:pPr>
            <w:r>
              <w:rPr>
                <w:color w:val="000000"/>
              </w:rPr>
              <w:t>DV: Total Dollars Raised</w:t>
            </w:r>
            <w:r>
              <w:rPr>
                <w:color w:val="000000"/>
              </w:rPr>
              <w:tab/>
              <w:t>Model 1</w:t>
            </w:r>
          </w:p>
        </w:tc>
      </w:tr>
      <w:tr w:rsidR="00165A52" w14:paraId="5567BBA7" w14:textId="77777777">
        <w:trPr>
          <w:trHeight w:val="185"/>
        </w:trPr>
        <w:tc>
          <w:tcPr>
            <w:tcW w:w="5276" w:type="dxa"/>
          </w:tcPr>
          <w:p w14:paraId="000000D7" w14:textId="77777777" w:rsidR="00165A52" w:rsidRDefault="00B02078">
            <w:pPr>
              <w:pBdr>
                <w:top w:val="nil"/>
                <w:left w:val="nil"/>
                <w:bottom w:val="nil"/>
                <w:right w:val="nil"/>
                <w:between w:val="nil"/>
              </w:pBdr>
              <w:tabs>
                <w:tab w:val="left" w:pos="5225"/>
              </w:tabs>
              <w:spacing w:line="166" w:lineRule="auto"/>
              <w:ind w:left="537"/>
              <w:rPr>
                <w:rFonts w:ascii="Gill Sans" w:eastAsia="Gill Sans" w:hAnsi="Gill Sans" w:cs="Gill Sans"/>
                <w:color w:val="000000"/>
                <w:sz w:val="20"/>
                <w:szCs w:val="20"/>
              </w:rPr>
            </w:pPr>
            <w:r>
              <w:rPr>
                <w:rFonts w:ascii="Gill Sans" w:eastAsia="Gill Sans" w:hAnsi="Gill Sans" w:cs="Gill Sans"/>
                <w:color w:val="000000"/>
                <w:sz w:val="20"/>
                <w:szCs w:val="20"/>
                <w:u w:val="single"/>
              </w:rPr>
              <w:t xml:space="preserve"> </w:t>
            </w:r>
            <w:r>
              <w:rPr>
                <w:rFonts w:ascii="Gill Sans" w:eastAsia="Gill Sans" w:hAnsi="Gill Sans" w:cs="Gill Sans"/>
                <w:color w:val="000000"/>
                <w:sz w:val="20"/>
                <w:szCs w:val="20"/>
                <w:u w:val="single"/>
              </w:rPr>
              <w:tab/>
            </w:r>
          </w:p>
        </w:tc>
      </w:tr>
      <w:tr w:rsidR="00165A52" w14:paraId="0796E192" w14:textId="77777777">
        <w:trPr>
          <w:trHeight w:val="480"/>
        </w:trPr>
        <w:tc>
          <w:tcPr>
            <w:tcW w:w="5276" w:type="dxa"/>
          </w:tcPr>
          <w:p w14:paraId="000000D8" w14:textId="77777777" w:rsidR="00165A52" w:rsidRDefault="00B02078">
            <w:pPr>
              <w:pBdr>
                <w:top w:val="nil"/>
                <w:left w:val="nil"/>
                <w:bottom w:val="nil"/>
                <w:right w:val="nil"/>
                <w:between w:val="nil"/>
              </w:pBdr>
              <w:tabs>
                <w:tab w:val="left" w:pos="3986"/>
              </w:tabs>
              <w:spacing w:before="18"/>
              <w:ind w:left="577" w:firstLine="719"/>
              <w:rPr>
                <w:color w:val="000000"/>
              </w:rPr>
            </w:pPr>
            <w:r>
              <w:rPr>
                <w:color w:val="000000"/>
              </w:rPr>
              <w:t>Total Tweets</w:t>
            </w:r>
            <w:r>
              <w:rPr>
                <w:color w:val="000000"/>
              </w:rPr>
              <w:tab/>
              <w:t>227.7***</w:t>
            </w:r>
          </w:p>
        </w:tc>
      </w:tr>
      <w:tr w:rsidR="00165A52" w14:paraId="425840BB" w14:textId="77777777">
        <w:trPr>
          <w:trHeight w:val="240"/>
        </w:trPr>
        <w:tc>
          <w:tcPr>
            <w:tcW w:w="5276" w:type="dxa"/>
          </w:tcPr>
          <w:p w14:paraId="000000D9" w14:textId="77777777" w:rsidR="00165A52" w:rsidRDefault="00165A52" w:rsidP="008B6059">
            <w:pPr>
              <w:pBdr>
                <w:top w:val="nil"/>
                <w:left w:val="nil"/>
                <w:bottom w:val="nil"/>
                <w:right w:val="nil"/>
                <w:between w:val="nil"/>
              </w:pBdr>
              <w:ind w:firstLine="0"/>
              <w:rPr>
                <w:color w:val="000000"/>
                <w:sz w:val="16"/>
                <w:szCs w:val="16"/>
              </w:rPr>
            </w:pPr>
          </w:p>
        </w:tc>
      </w:tr>
      <w:tr w:rsidR="00165A52" w14:paraId="4EB82398" w14:textId="77777777">
        <w:trPr>
          <w:trHeight w:val="720"/>
        </w:trPr>
        <w:tc>
          <w:tcPr>
            <w:tcW w:w="5276" w:type="dxa"/>
          </w:tcPr>
          <w:p w14:paraId="000000DA" w14:textId="77777777" w:rsidR="00165A52" w:rsidRDefault="00B02078">
            <w:pPr>
              <w:pBdr>
                <w:top w:val="nil"/>
                <w:left w:val="nil"/>
                <w:bottom w:val="nil"/>
                <w:right w:val="nil"/>
                <w:between w:val="nil"/>
              </w:pBdr>
              <w:spacing w:before="25"/>
              <w:ind w:right="487"/>
              <w:jc w:val="right"/>
              <w:rPr>
                <w:color w:val="000000"/>
              </w:rPr>
            </w:pPr>
            <w:r>
              <w:rPr>
                <w:color w:val="000000"/>
              </w:rPr>
              <w:t>(31.36)</w:t>
            </w:r>
          </w:p>
          <w:p w14:paraId="000000DB" w14:textId="77777777" w:rsidR="00165A52" w:rsidRDefault="00B02078">
            <w:pPr>
              <w:pBdr>
                <w:top w:val="nil"/>
                <w:left w:val="nil"/>
                <w:bottom w:val="nil"/>
                <w:right w:val="nil"/>
                <w:between w:val="nil"/>
              </w:pBdr>
              <w:tabs>
                <w:tab w:val="left" w:pos="3416"/>
              </w:tabs>
              <w:spacing w:before="122"/>
              <w:ind w:right="393"/>
              <w:jc w:val="right"/>
              <w:rPr>
                <w:color w:val="000000"/>
              </w:rPr>
            </w:pPr>
            <w:r>
              <w:rPr>
                <w:color w:val="000000"/>
              </w:rPr>
              <w:t>Unrestricted Funds</w:t>
            </w:r>
            <w:r>
              <w:rPr>
                <w:color w:val="000000"/>
              </w:rPr>
              <w:tab/>
              <w:t>1.55E-05</w:t>
            </w:r>
          </w:p>
        </w:tc>
      </w:tr>
      <w:tr w:rsidR="00165A52" w14:paraId="093A5A02" w14:textId="77777777">
        <w:trPr>
          <w:trHeight w:val="480"/>
        </w:trPr>
        <w:tc>
          <w:tcPr>
            <w:tcW w:w="5276" w:type="dxa"/>
          </w:tcPr>
          <w:p w14:paraId="000000DC" w14:textId="77777777" w:rsidR="00165A52" w:rsidRDefault="00B02078">
            <w:pPr>
              <w:pBdr>
                <w:top w:val="nil"/>
                <w:left w:val="nil"/>
                <w:bottom w:val="nil"/>
                <w:right w:val="nil"/>
                <w:between w:val="nil"/>
              </w:pBdr>
              <w:spacing w:before="113"/>
              <w:ind w:right="313"/>
              <w:jc w:val="right"/>
              <w:rPr>
                <w:color w:val="000000"/>
              </w:rPr>
            </w:pPr>
            <w:r>
              <w:rPr>
                <w:color w:val="000000"/>
              </w:rPr>
              <w:t>(1.96E-05)</w:t>
            </w:r>
          </w:p>
        </w:tc>
      </w:tr>
      <w:tr w:rsidR="00165A52" w14:paraId="1E9BC5C3" w14:textId="77777777">
        <w:trPr>
          <w:trHeight w:val="471"/>
        </w:trPr>
        <w:tc>
          <w:tcPr>
            <w:tcW w:w="5276" w:type="dxa"/>
          </w:tcPr>
          <w:p w14:paraId="000000DD" w14:textId="77777777" w:rsidR="00165A52" w:rsidRDefault="00B02078">
            <w:pPr>
              <w:pBdr>
                <w:top w:val="nil"/>
                <w:left w:val="nil"/>
                <w:bottom w:val="nil"/>
                <w:right w:val="nil"/>
                <w:between w:val="nil"/>
              </w:pBdr>
              <w:tabs>
                <w:tab w:val="left" w:pos="3953"/>
              </w:tabs>
              <w:spacing w:before="43"/>
              <w:ind w:left="577" w:firstLine="719"/>
              <w:rPr>
                <w:color w:val="000000"/>
              </w:rPr>
            </w:pPr>
            <w:r>
              <w:rPr>
                <w:color w:val="000000"/>
              </w:rPr>
              <w:t>Fundraising Expenses</w:t>
            </w:r>
            <w:r>
              <w:rPr>
                <w:color w:val="000000"/>
              </w:rPr>
              <w:tab/>
              <w:t>-2.44E-05</w:t>
            </w:r>
          </w:p>
        </w:tc>
      </w:tr>
      <w:tr w:rsidR="00165A52" w14:paraId="58FE84CF" w14:textId="77777777">
        <w:trPr>
          <w:trHeight w:val="252"/>
        </w:trPr>
        <w:tc>
          <w:tcPr>
            <w:tcW w:w="5276" w:type="dxa"/>
          </w:tcPr>
          <w:p w14:paraId="000000DE" w14:textId="77777777" w:rsidR="00165A52" w:rsidRDefault="00B02078">
            <w:pPr>
              <w:pBdr>
                <w:top w:val="nil"/>
                <w:left w:val="nil"/>
                <w:bottom w:val="nil"/>
                <w:right w:val="nil"/>
                <w:between w:val="nil"/>
              </w:pBdr>
              <w:spacing w:line="233" w:lineRule="auto"/>
              <w:ind w:right="313"/>
              <w:jc w:val="right"/>
              <w:rPr>
                <w:color w:val="000000"/>
              </w:rPr>
            </w:pPr>
            <w:r>
              <w:rPr>
                <w:color w:val="000000"/>
              </w:rPr>
              <w:t>(3.71E-05)</w:t>
            </w:r>
          </w:p>
        </w:tc>
      </w:tr>
      <w:tr w:rsidR="00165A52" w14:paraId="3739D12A" w14:textId="77777777">
        <w:trPr>
          <w:trHeight w:val="475"/>
        </w:trPr>
        <w:tc>
          <w:tcPr>
            <w:tcW w:w="5276" w:type="dxa"/>
          </w:tcPr>
          <w:p w14:paraId="000000DF" w14:textId="77777777" w:rsidR="00165A52" w:rsidRDefault="00B02078">
            <w:pPr>
              <w:pBdr>
                <w:top w:val="nil"/>
                <w:left w:val="nil"/>
                <w:bottom w:val="nil"/>
                <w:right w:val="nil"/>
                <w:between w:val="nil"/>
              </w:pBdr>
              <w:tabs>
                <w:tab w:val="left" w:pos="3986"/>
              </w:tabs>
              <w:spacing w:before="138"/>
              <w:ind w:left="577" w:firstLine="719"/>
              <w:rPr>
                <w:color w:val="000000"/>
              </w:rPr>
            </w:pPr>
            <w:r>
              <w:rPr>
                <w:color w:val="000000"/>
              </w:rPr>
              <w:t>Constant</w:t>
            </w:r>
            <w:r>
              <w:rPr>
                <w:color w:val="000000"/>
              </w:rPr>
              <w:tab/>
              <w:t>803.4***</w:t>
            </w:r>
          </w:p>
        </w:tc>
      </w:tr>
      <w:tr w:rsidR="00165A52" w14:paraId="401A1B8A" w14:textId="77777777">
        <w:trPr>
          <w:trHeight w:val="480"/>
        </w:trPr>
        <w:tc>
          <w:tcPr>
            <w:tcW w:w="5276" w:type="dxa"/>
          </w:tcPr>
          <w:p w14:paraId="000000E0" w14:textId="77777777" w:rsidR="00165A52" w:rsidRDefault="00B02078">
            <w:pPr>
              <w:pBdr>
                <w:top w:val="nil"/>
                <w:left w:val="nil"/>
                <w:bottom w:val="nil"/>
                <w:right w:val="nil"/>
                <w:between w:val="nil"/>
              </w:pBdr>
              <w:spacing w:before="73"/>
              <w:ind w:right="487"/>
              <w:jc w:val="right"/>
              <w:rPr>
                <w:color w:val="000000"/>
              </w:rPr>
            </w:pPr>
            <w:r>
              <w:rPr>
                <w:color w:val="000000"/>
              </w:rPr>
              <w:t>(107.5)</w:t>
            </w:r>
          </w:p>
        </w:tc>
      </w:tr>
      <w:tr w:rsidR="00165A52" w14:paraId="449F4A75" w14:textId="77777777">
        <w:trPr>
          <w:trHeight w:val="240"/>
        </w:trPr>
        <w:tc>
          <w:tcPr>
            <w:tcW w:w="5276" w:type="dxa"/>
          </w:tcPr>
          <w:p w14:paraId="000000E1" w14:textId="77777777" w:rsidR="00165A52" w:rsidRDefault="00165A52">
            <w:pPr>
              <w:pBdr>
                <w:top w:val="nil"/>
                <w:left w:val="nil"/>
                <w:bottom w:val="nil"/>
                <w:right w:val="nil"/>
                <w:between w:val="nil"/>
              </w:pBdr>
              <w:rPr>
                <w:color w:val="000000"/>
                <w:sz w:val="16"/>
                <w:szCs w:val="16"/>
              </w:rPr>
            </w:pPr>
          </w:p>
        </w:tc>
      </w:tr>
      <w:tr w:rsidR="00165A52" w14:paraId="2DF855BA" w14:textId="77777777">
        <w:trPr>
          <w:trHeight w:val="480"/>
        </w:trPr>
        <w:tc>
          <w:tcPr>
            <w:tcW w:w="5276" w:type="dxa"/>
          </w:tcPr>
          <w:p w14:paraId="000000E2" w14:textId="77777777" w:rsidR="00165A52" w:rsidRDefault="00B02078">
            <w:pPr>
              <w:pBdr>
                <w:top w:val="nil"/>
                <w:left w:val="nil"/>
                <w:bottom w:val="nil"/>
                <w:right w:val="nil"/>
                <w:between w:val="nil"/>
              </w:pBdr>
              <w:tabs>
                <w:tab w:val="right" w:pos="4616"/>
              </w:tabs>
              <w:spacing w:before="158"/>
              <w:ind w:left="577" w:firstLine="719"/>
              <w:rPr>
                <w:color w:val="000000"/>
              </w:rPr>
            </w:pPr>
            <w:r>
              <w:rPr>
                <w:color w:val="000000"/>
              </w:rPr>
              <w:t>Observations</w:t>
            </w:r>
            <w:r>
              <w:rPr>
                <w:color w:val="000000"/>
              </w:rPr>
              <w:tab/>
              <w:t>466</w:t>
            </w:r>
          </w:p>
        </w:tc>
      </w:tr>
      <w:tr w:rsidR="00165A52" w14:paraId="2AFD97A3" w14:textId="77777777">
        <w:trPr>
          <w:trHeight w:val="301"/>
        </w:trPr>
        <w:tc>
          <w:tcPr>
            <w:tcW w:w="5276" w:type="dxa"/>
          </w:tcPr>
          <w:p w14:paraId="000000E3" w14:textId="77777777" w:rsidR="00165A52" w:rsidRDefault="00B02078">
            <w:pPr>
              <w:pBdr>
                <w:top w:val="nil"/>
                <w:left w:val="nil"/>
                <w:bottom w:val="nil"/>
                <w:right w:val="nil"/>
                <w:between w:val="nil"/>
              </w:pBdr>
              <w:tabs>
                <w:tab w:val="right" w:pos="4706"/>
              </w:tabs>
              <w:spacing w:before="88" w:line="194" w:lineRule="auto"/>
              <w:ind w:left="577" w:firstLine="719"/>
              <w:rPr>
                <w:color w:val="000000"/>
              </w:rPr>
            </w:pPr>
            <w:r>
              <w:rPr>
                <w:color w:val="000000"/>
              </w:rPr>
              <w:t>R-squared</w:t>
            </w:r>
            <w:r>
              <w:rPr>
                <w:color w:val="000000"/>
              </w:rPr>
              <w:tab/>
              <w:t>0.104</w:t>
            </w:r>
          </w:p>
        </w:tc>
      </w:tr>
      <w:tr w:rsidR="00165A52" w14:paraId="5DAF249A" w14:textId="77777777">
        <w:trPr>
          <w:trHeight w:val="178"/>
        </w:trPr>
        <w:tc>
          <w:tcPr>
            <w:tcW w:w="5276" w:type="dxa"/>
          </w:tcPr>
          <w:p w14:paraId="000000E4" w14:textId="77777777" w:rsidR="00165A52" w:rsidRDefault="00B02078">
            <w:pPr>
              <w:pBdr>
                <w:top w:val="nil"/>
                <w:left w:val="nil"/>
                <w:bottom w:val="nil"/>
                <w:right w:val="nil"/>
                <w:between w:val="nil"/>
              </w:pBdr>
              <w:tabs>
                <w:tab w:val="left" w:pos="5225"/>
              </w:tabs>
              <w:spacing w:line="158" w:lineRule="auto"/>
              <w:ind w:left="537"/>
              <w:rPr>
                <w:rFonts w:ascii="Gill Sans" w:eastAsia="Gill Sans" w:hAnsi="Gill Sans" w:cs="Gill Sans"/>
                <w:color w:val="000000"/>
                <w:sz w:val="20"/>
                <w:szCs w:val="20"/>
              </w:rPr>
            </w:pPr>
            <w:r>
              <w:rPr>
                <w:rFonts w:ascii="Gill Sans" w:eastAsia="Gill Sans" w:hAnsi="Gill Sans" w:cs="Gill Sans"/>
                <w:color w:val="000000"/>
                <w:sz w:val="20"/>
                <w:szCs w:val="20"/>
                <w:u w:val="single"/>
              </w:rPr>
              <w:t xml:space="preserve"> </w:t>
            </w:r>
            <w:r>
              <w:rPr>
                <w:rFonts w:ascii="Gill Sans" w:eastAsia="Gill Sans" w:hAnsi="Gill Sans" w:cs="Gill Sans"/>
                <w:color w:val="000000"/>
                <w:sz w:val="20"/>
                <w:szCs w:val="20"/>
                <w:u w:val="single"/>
              </w:rPr>
              <w:tab/>
            </w:r>
          </w:p>
        </w:tc>
      </w:tr>
      <w:tr w:rsidR="00165A52" w14:paraId="231C005D" w14:textId="77777777">
        <w:trPr>
          <w:trHeight w:val="472"/>
        </w:trPr>
        <w:tc>
          <w:tcPr>
            <w:tcW w:w="5276" w:type="dxa"/>
          </w:tcPr>
          <w:p w14:paraId="000000E5" w14:textId="77777777" w:rsidR="00165A52" w:rsidRDefault="00B02078">
            <w:pPr>
              <w:pBdr>
                <w:top w:val="nil"/>
                <w:left w:val="nil"/>
                <w:bottom w:val="nil"/>
                <w:right w:val="nil"/>
                <w:between w:val="nil"/>
              </w:pBdr>
              <w:spacing w:before="45"/>
              <w:ind w:left="1412"/>
              <w:rPr>
                <w:color w:val="000000"/>
              </w:rPr>
            </w:pPr>
            <w:r>
              <w:rPr>
                <w:color w:val="000000"/>
              </w:rPr>
              <w:t>Standard errors in parentheses</w:t>
            </w:r>
          </w:p>
        </w:tc>
      </w:tr>
      <w:tr w:rsidR="00165A52" w14:paraId="0446B027" w14:textId="77777777">
        <w:trPr>
          <w:trHeight w:val="252"/>
        </w:trPr>
        <w:tc>
          <w:tcPr>
            <w:tcW w:w="5276" w:type="dxa"/>
          </w:tcPr>
          <w:p w14:paraId="000000E6" w14:textId="77777777" w:rsidR="00165A52" w:rsidRDefault="00B02078">
            <w:pPr>
              <w:pBdr>
                <w:top w:val="nil"/>
                <w:left w:val="nil"/>
                <w:bottom w:val="nil"/>
                <w:right w:val="nil"/>
                <w:between w:val="nil"/>
              </w:pBdr>
              <w:spacing w:line="233" w:lineRule="auto"/>
              <w:ind w:left="1338"/>
              <w:rPr>
                <w:color w:val="000000"/>
              </w:rPr>
            </w:pPr>
            <w:r>
              <w:rPr>
                <w:color w:val="000000"/>
              </w:rPr>
              <w:t>*** p&lt;0.01, ** p&lt;0.05, * p&lt;0.1</w:t>
            </w:r>
          </w:p>
        </w:tc>
      </w:tr>
    </w:tbl>
    <w:p w14:paraId="000000E7" w14:textId="77777777" w:rsidR="00165A52" w:rsidRDefault="00165A52">
      <w:pPr>
        <w:pBdr>
          <w:top w:val="nil"/>
          <w:left w:val="nil"/>
          <w:bottom w:val="nil"/>
          <w:right w:val="nil"/>
          <w:between w:val="nil"/>
        </w:pBdr>
        <w:ind w:left="160" w:firstLine="560"/>
        <w:rPr>
          <w:color w:val="000000"/>
        </w:rPr>
      </w:pPr>
    </w:p>
    <w:p w14:paraId="000000E8" w14:textId="77777777" w:rsidR="00165A52" w:rsidRDefault="00165A52">
      <w:pPr>
        <w:pBdr>
          <w:top w:val="nil"/>
          <w:left w:val="nil"/>
          <w:bottom w:val="nil"/>
          <w:right w:val="nil"/>
          <w:between w:val="nil"/>
        </w:pBdr>
        <w:ind w:left="160" w:firstLine="560"/>
        <w:rPr>
          <w:color w:val="000000"/>
        </w:rPr>
      </w:pPr>
    </w:p>
    <w:p w14:paraId="000000EA" w14:textId="593F4BF6" w:rsidR="00165A52" w:rsidRDefault="00B02078" w:rsidP="000D2B22">
      <w:pPr>
        <w:ind w:firstLine="0"/>
        <w:rPr>
          <w:color w:val="000000"/>
        </w:rPr>
      </w:pPr>
      <w:r>
        <w:br w:type="page"/>
      </w:r>
      <w:r>
        <w:rPr>
          <w:color w:val="000000"/>
        </w:rPr>
        <w:lastRenderedPageBreak/>
        <w:t>Table 4: The Relationship between Social Media Messaging and Donations</w:t>
      </w:r>
    </w:p>
    <w:p w14:paraId="000000EB" w14:textId="77777777" w:rsidR="00165A52" w:rsidRDefault="00165A52">
      <w:pPr>
        <w:pBdr>
          <w:top w:val="nil"/>
          <w:left w:val="nil"/>
          <w:bottom w:val="nil"/>
          <w:right w:val="nil"/>
          <w:between w:val="nil"/>
        </w:pBdr>
        <w:ind w:firstLine="0"/>
        <w:rPr>
          <w:color w:val="000000"/>
        </w:rPr>
      </w:pPr>
    </w:p>
    <w:p w14:paraId="000000EC" w14:textId="77777777" w:rsidR="00165A52" w:rsidRDefault="00165A52">
      <w:pPr>
        <w:pBdr>
          <w:top w:val="nil"/>
          <w:left w:val="nil"/>
          <w:bottom w:val="nil"/>
          <w:right w:val="nil"/>
          <w:between w:val="nil"/>
        </w:pBdr>
        <w:ind w:firstLine="560"/>
        <w:rPr>
          <w:color w:val="000000"/>
        </w:rPr>
      </w:pPr>
    </w:p>
    <w:tbl>
      <w:tblPr>
        <w:tblW w:w="7820" w:type="dxa"/>
        <w:tblLook w:val="04A0" w:firstRow="1" w:lastRow="0" w:firstColumn="1" w:lastColumn="0" w:noHBand="0" w:noVBand="1"/>
      </w:tblPr>
      <w:tblGrid>
        <w:gridCol w:w="3003"/>
        <w:gridCol w:w="1497"/>
        <w:gridCol w:w="1720"/>
        <w:gridCol w:w="1600"/>
      </w:tblGrid>
      <w:tr w:rsidR="002C07C6" w:rsidRPr="002C07C6" w14:paraId="6EB29D25" w14:textId="77777777" w:rsidTr="008B6059">
        <w:trPr>
          <w:trHeight w:val="315"/>
        </w:trPr>
        <w:tc>
          <w:tcPr>
            <w:tcW w:w="3003" w:type="dxa"/>
            <w:tcBorders>
              <w:top w:val="single" w:sz="4" w:space="0" w:color="auto"/>
              <w:left w:val="nil"/>
              <w:bottom w:val="nil"/>
              <w:right w:val="nil"/>
            </w:tcBorders>
            <w:shd w:val="clear" w:color="auto" w:fill="auto"/>
            <w:noWrap/>
            <w:vAlign w:val="bottom"/>
            <w:hideMark/>
          </w:tcPr>
          <w:p w14:paraId="2C06C479" w14:textId="77777777" w:rsidR="002C07C6" w:rsidRPr="002C07C6" w:rsidRDefault="002C07C6" w:rsidP="002C07C6">
            <w:pPr>
              <w:ind w:firstLine="0"/>
              <w:rPr>
                <w:color w:val="000000"/>
              </w:rPr>
            </w:pPr>
            <w:r w:rsidRPr="002C07C6">
              <w:rPr>
                <w:color w:val="000000"/>
              </w:rPr>
              <w:t> </w:t>
            </w:r>
          </w:p>
        </w:tc>
        <w:tc>
          <w:tcPr>
            <w:tcW w:w="1497" w:type="dxa"/>
            <w:tcBorders>
              <w:top w:val="single" w:sz="4" w:space="0" w:color="auto"/>
              <w:left w:val="nil"/>
              <w:bottom w:val="nil"/>
              <w:right w:val="nil"/>
            </w:tcBorders>
            <w:shd w:val="clear" w:color="auto" w:fill="auto"/>
            <w:vAlign w:val="center"/>
            <w:hideMark/>
          </w:tcPr>
          <w:p w14:paraId="1AAC1918" w14:textId="77777777" w:rsidR="002C07C6" w:rsidRPr="002C07C6" w:rsidRDefault="002C07C6" w:rsidP="002C07C6">
            <w:pPr>
              <w:ind w:firstLine="0"/>
              <w:jc w:val="center"/>
              <w:rPr>
                <w:color w:val="000000"/>
              </w:rPr>
            </w:pPr>
            <w:r w:rsidRPr="002C07C6">
              <w:rPr>
                <w:color w:val="000000"/>
              </w:rPr>
              <w:t>(1)</w:t>
            </w:r>
          </w:p>
        </w:tc>
        <w:tc>
          <w:tcPr>
            <w:tcW w:w="1720" w:type="dxa"/>
            <w:tcBorders>
              <w:top w:val="single" w:sz="4" w:space="0" w:color="auto"/>
              <w:left w:val="nil"/>
              <w:bottom w:val="nil"/>
              <w:right w:val="nil"/>
            </w:tcBorders>
            <w:shd w:val="clear" w:color="auto" w:fill="auto"/>
            <w:vAlign w:val="center"/>
            <w:hideMark/>
          </w:tcPr>
          <w:p w14:paraId="574B7DF7" w14:textId="77777777" w:rsidR="002C07C6" w:rsidRPr="002C07C6" w:rsidRDefault="002C07C6" w:rsidP="002C07C6">
            <w:pPr>
              <w:ind w:firstLine="0"/>
              <w:jc w:val="center"/>
              <w:rPr>
                <w:color w:val="000000"/>
              </w:rPr>
            </w:pPr>
            <w:r w:rsidRPr="002C07C6">
              <w:rPr>
                <w:color w:val="000000"/>
              </w:rPr>
              <w:t>(2)</w:t>
            </w:r>
          </w:p>
        </w:tc>
        <w:tc>
          <w:tcPr>
            <w:tcW w:w="1600" w:type="dxa"/>
            <w:tcBorders>
              <w:top w:val="single" w:sz="4" w:space="0" w:color="auto"/>
              <w:left w:val="nil"/>
              <w:bottom w:val="nil"/>
              <w:right w:val="nil"/>
            </w:tcBorders>
            <w:shd w:val="clear" w:color="auto" w:fill="auto"/>
            <w:noWrap/>
            <w:vAlign w:val="bottom"/>
            <w:hideMark/>
          </w:tcPr>
          <w:p w14:paraId="062C5B2E" w14:textId="77777777" w:rsidR="002C07C6" w:rsidRPr="002C07C6" w:rsidRDefault="002C07C6" w:rsidP="002C07C6">
            <w:pPr>
              <w:ind w:firstLine="0"/>
              <w:jc w:val="center"/>
              <w:rPr>
                <w:color w:val="000000"/>
              </w:rPr>
            </w:pPr>
            <w:r w:rsidRPr="002C07C6">
              <w:rPr>
                <w:color w:val="000000"/>
              </w:rPr>
              <w:t>(3)</w:t>
            </w:r>
          </w:p>
        </w:tc>
      </w:tr>
      <w:tr w:rsidR="002C07C6" w:rsidRPr="002C07C6" w14:paraId="78A0F6FA" w14:textId="77777777" w:rsidTr="008B6059">
        <w:trPr>
          <w:trHeight w:val="315"/>
        </w:trPr>
        <w:tc>
          <w:tcPr>
            <w:tcW w:w="3003" w:type="dxa"/>
            <w:tcBorders>
              <w:top w:val="nil"/>
              <w:left w:val="nil"/>
              <w:bottom w:val="single" w:sz="4" w:space="0" w:color="auto"/>
              <w:right w:val="nil"/>
            </w:tcBorders>
            <w:shd w:val="clear" w:color="auto" w:fill="auto"/>
            <w:noWrap/>
            <w:vAlign w:val="bottom"/>
            <w:hideMark/>
          </w:tcPr>
          <w:p w14:paraId="55437F70" w14:textId="77777777" w:rsidR="002C07C6" w:rsidRPr="002C07C6" w:rsidRDefault="002C07C6" w:rsidP="002C07C6">
            <w:pPr>
              <w:ind w:firstLine="0"/>
              <w:rPr>
                <w:color w:val="000000"/>
              </w:rPr>
            </w:pPr>
            <w:r w:rsidRPr="002C07C6">
              <w:rPr>
                <w:color w:val="000000"/>
              </w:rPr>
              <w:t>DV: Total Dollars Raised</w:t>
            </w:r>
          </w:p>
        </w:tc>
        <w:tc>
          <w:tcPr>
            <w:tcW w:w="1497" w:type="dxa"/>
            <w:tcBorders>
              <w:top w:val="nil"/>
              <w:left w:val="nil"/>
              <w:bottom w:val="single" w:sz="4" w:space="0" w:color="auto"/>
              <w:right w:val="nil"/>
            </w:tcBorders>
            <w:shd w:val="clear" w:color="auto" w:fill="auto"/>
            <w:noWrap/>
            <w:vAlign w:val="bottom"/>
            <w:hideMark/>
          </w:tcPr>
          <w:p w14:paraId="197CD437" w14:textId="77777777" w:rsidR="002C07C6" w:rsidRPr="002C07C6" w:rsidRDefault="002C07C6" w:rsidP="002C07C6">
            <w:pPr>
              <w:ind w:firstLine="0"/>
              <w:rPr>
                <w:color w:val="000000"/>
              </w:rPr>
            </w:pPr>
            <w:r w:rsidRPr="002C07C6">
              <w:rPr>
                <w:color w:val="000000"/>
              </w:rPr>
              <w:t>social media</w:t>
            </w:r>
          </w:p>
        </w:tc>
        <w:tc>
          <w:tcPr>
            <w:tcW w:w="1720" w:type="dxa"/>
            <w:tcBorders>
              <w:top w:val="nil"/>
              <w:left w:val="nil"/>
              <w:bottom w:val="single" w:sz="4" w:space="0" w:color="auto"/>
              <w:right w:val="nil"/>
            </w:tcBorders>
            <w:shd w:val="clear" w:color="auto" w:fill="auto"/>
            <w:noWrap/>
            <w:vAlign w:val="bottom"/>
            <w:hideMark/>
          </w:tcPr>
          <w:p w14:paraId="64E6045D" w14:textId="77777777" w:rsidR="002C07C6" w:rsidRPr="002C07C6" w:rsidRDefault="002C07C6" w:rsidP="002C07C6">
            <w:pPr>
              <w:ind w:firstLine="0"/>
              <w:rPr>
                <w:color w:val="000000"/>
              </w:rPr>
            </w:pPr>
            <w:r w:rsidRPr="002C07C6">
              <w:rPr>
                <w:color w:val="000000"/>
              </w:rPr>
              <w:t>social media2</w:t>
            </w:r>
          </w:p>
        </w:tc>
        <w:tc>
          <w:tcPr>
            <w:tcW w:w="1600" w:type="dxa"/>
            <w:tcBorders>
              <w:top w:val="nil"/>
              <w:left w:val="nil"/>
              <w:bottom w:val="single" w:sz="4" w:space="0" w:color="auto"/>
              <w:right w:val="nil"/>
            </w:tcBorders>
            <w:shd w:val="clear" w:color="auto" w:fill="auto"/>
            <w:noWrap/>
            <w:vAlign w:val="bottom"/>
            <w:hideMark/>
          </w:tcPr>
          <w:p w14:paraId="67426170" w14:textId="77777777" w:rsidR="002C07C6" w:rsidRPr="002C07C6" w:rsidRDefault="002C07C6" w:rsidP="002C07C6">
            <w:pPr>
              <w:ind w:firstLine="0"/>
              <w:rPr>
                <w:color w:val="000000"/>
              </w:rPr>
            </w:pPr>
            <w:r w:rsidRPr="002C07C6">
              <w:rPr>
                <w:color w:val="000000"/>
              </w:rPr>
              <w:t>interactions</w:t>
            </w:r>
          </w:p>
        </w:tc>
      </w:tr>
      <w:tr w:rsidR="002C07C6" w:rsidRPr="002C07C6" w14:paraId="6B8826FA" w14:textId="77777777" w:rsidTr="008B6059">
        <w:trPr>
          <w:trHeight w:val="315"/>
        </w:trPr>
        <w:tc>
          <w:tcPr>
            <w:tcW w:w="3003" w:type="dxa"/>
            <w:tcBorders>
              <w:top w:val="nil"/>
              <w:left w:val="nil"/>
              <w:bottom w:val="nil"/>
              <w:right w:val="nil"/>
            </w:tcBorders>
            <w:shd w:val="clear" w:color="auto" w:fill="auto"/>
            <w:noWrap/>
            <w:vAlign w:val="bottom"/>
            <w:hideMark/>
          </w:tcPr>
          <w:p w14:paraId="522FC73C" w14:textId="77777777" w:rsidR="002C07C6" w:rsidRPr="002C07C6" w:rsidRDefault="002C07C6" w:rsidP="002C07C6">
            <w:pPr>
              <w:ind w:firstLine="0"/>
              <w:rPr>
                <w:color w:val="000000"/>
              </w:rPr>
            </w:pPr>
            <w:r w:rsidRPr="002C07C6">
              <w:rPr>
                <w:color w:val="000000"/>
              </w:rPr>
              <w:t xml:space="preserve">Philanthropy Framing </w:t>
            </w:r>
          </w:p>
        </w:tc>
        <w:tc>
          <w:tcPr>
            <w:tcW w:w="1497" w:type="dxa"/>
            <w:tcBorders>
              <w:top w:val="nil"/>
              <w:left w:val="nil"/>
              <w:bottom w:val="nil"/>
              <w:right w:val="nil"/>
            </w:tcBorders>
            <w:shd w:val="clear" w:color="auto" w:fill="auto"/>
            <w:noWrap/>
            <w:vAlign w:val="bottom"/>
            <w:hideMark/>
          </w:tcPr>
          <w:p w14:paraId="0DFB30BA" w14:textId="77777777" w:rsidR="002C07C6" w:rsidRPr="002C07C6" w:rsidRDefault="002C07C6" w:rsidP="008B6059">
            <w:pPr>
              <w:ind w:firstLine="0"/>
              <w:jc w:val="right"/>
              <w:rPr>
                <w:color w:val="000000"/>
              </w:rPr>
            </w:pPr>
            <w:r w:rsidRPr="002C07C6">
              <w:rPr>
                <w:color w:val="000000"/>
              </w:rPr>
              <w:t xml:space="preserve">604.8*** </w:t>
            </w:r>
          </w:p>
        </w:tc>
        <w:tc>
          <w:tcPr>
            <w:tcW w:w="1720" w:type="dxa"/>
            <w:tcBorders>
              <w:top w:val="nil"/>
              <w:left w:val="nil"/>
              <w:bottom w:val="nil"/>
              <w:right w:val="nil"/>
            </w:tcBorders>
            <w:shd w:val="clear" w:color="auto" w:fill="auto"/>
            <w:noWrap/>
            <w:vAlign w:val="bottom"/>
            <w:hideMark/>
          </w:tcPr>
          <w:p w14:paraId="78890092" w14:textId="77777777" w:rsidR="002C07C6" w:rsidRPr="002C07C6" w:rsidRDefault="002C07C6" w:rsidP="008B6059">
            <w:pPr>
              <w:ind w:firstLine="0"/>
              <w:jc w:val="right"/>
              <w:rPr>
                <w:color w:val="000000"/>
              </w:rPr>
            </w:pPr>
            <w:r w:rsidRPr="002C07C6">
              <w:rPr>
                <w:color w:val="000000"/>
              </w:rPr>
              <w:t xml:space="preserve">616.0*** </w:t>
            </w:r>
          </w:p>
        </w:tc>
        <w:tc>
          <w:tcPr>
            <w:tcW w:w="1600" w:type="dxa"/>
            <w:tcBorders>
              <w:top w:val="nil"/>
              <w:left w:val="nil"/>
              <w:bottom w:val="nil"/>
              <w:right w:val="nil"/>
            </w:tcBorders>
            <w:shd w:val="clear" w:color="auto" w:fill="auto"/>
            <w:noWrap/>
            <w:vAlign w:val="bottom"/>
            <w:hideMark/>
          </w:tcPr>
          <w:p w14:paraId="3AE7D94D" w14:textId="77777777" w:rsidR="002C07C6" w:rsidRPr="002C07C6" w:rsidRDefault="002C07C6" w:rsidP="008B6059">
            <w:pPr>
              <w:ind w:firstLine="0"/>
              <w:jc w:val="right"/>
              <w:rPr>
                <w:color w:val="000000"/>
              </w:rPr>
            </w:pPr>
            <w:r w:rsidRPr="002C07C6">
              <w:rPr>
                <w:color w:val="000000"/>
              </w:rPr>
              <w:t>525.1***</w:t>
            </w:r>
          </w:p>
        </w:tc>
      </w:tr>
      <w:tr w:rsidR="002C07C6" w:rsidRPr="002C07C6" w14:paraId="127F19D6" w14:textId="77777777" w:rsidTr="008B6059">
        <w:trPr>
          <w:trHeight w:val="315"/>
        </w:trPr>
        <w:tc>
          <w:tcPr>
            <w:tcW w:w="3003" w:type="dxa"/>
            <w:tcBorders>
              <w:top w:val="nil"/>
              <w:left w:val="nil"/>
              <w:bottom w:val="nil"/>
              <w:right w:val="nil"/>
            </w:tcBorders>
            <w:shd w:val="clear" w:color="auto" w:fill="auto"/>
            <w:noWrap/>
            <w:vAlign w:val="bottom"/>
            <w:hideMark/>
          </w:tcPr>
          <w:p w14:paraId="614C3403" w14:textId="77777777" w:rsidR="002C07C6" w:rsidRPr="002C07C6" w:rsidRDefault="002C07C6" w:rsidP="002C07C6">
            <w:pPr>
              <w:ind w:firstLine="0"/>
              <w:rPr>
                <w:color w:val="000000"/>
              </w:rPr>
            </w:pPr>
          </w:p>
        </w:tc>
        <w:tc>
          <w:tcPr>
            <w:tcW w:w="1497" w:type="dxa"/>
            <w:tcBorders>
              <w:top w:val="nil"/>
              <w:left w:val="nil"/>
              <w:bottom w:val="nil"/>
              <w:right w:val="nil"/>
            </w:tcBorders>
            <w:shd w:val="clear" w:color="auto" w:fill="auto"/>
            <w:noWrap/>
            <w:vAlign w:val="bottom"/>
            <w:hideMark/>
          </w:tcPr>
          <w:p w14:paraId="43744635" w14:textId="77777777" w:rsidR="002C07C6" w:rsidRPr="002C07C6" w:rsidRDefault="002C07C6" w:rsidP="008B6059">
            <w:pPr>
              <w:ind w:firstLine="0"/>
              <w:jc w:val="right"/>
              <w:rPr>
                <w:color w:val="000000"/>
              </w:rPr>
            </w:pPr>
            <w:r w:rsidRPr="002C07C6">
              <w:rPr>
                <w:color w:val="000000"/>
              </w:rPr>
              <w:t>(95.79)</w:t>
            </w:r>
          </w:p>
        </w:tc>
        <w:tc>
          <w:tcPr>
            <w:tcW w:w="1720" w:type="dxa"/>
            <w:tcBorders>
              <w:top w:val="nil"/>
              <w:left w:val="nil"/>
              <w:bottom w:val="nil"/>
              <w:right w:val="nil"/>
            </w:tcBorders>
            <w:shd w:val="clear" w:color="auto" w:fill="auto"/>
            <w:noWrap/>
            <w:vAlign w:val="bottom"/>
            <w:hideMark/>
          </w:tcPr>
          <w:p w14:paraId="5EB64767" w14:textId="77777777" w:rsidR="002C07C6" w:rsidRPr="002C07C6" w:rsidRDefault="002C07C6" w:rsidP="008B6059">
            <w:pPr>
              <w:ind w:firstLine="0"/>
              <w:jc w:val="right"/>
              <w:rPr>
                <w:color w:val="000000"/>
              </w:rPr>
            </w:pPr>
            <w:r w:rsidRPr="002C07C6">
              <w:rPr>
                <w:color w:val="000000"/>
              </w:rPr>
              <w:t>(97.64)</w:t>
            </w:r>
          </w:p>
        </w:tc>
        <w:tc>
          <w:tcPr>
            <w:tcW w:w="1600" w:type="dxa"/>
            <w:tcBorders>
              <w:top w:val="nil"/>
              <w:left w:val="nil"/>
              <w:bottom w:val="nil"/>
              <w:right w:val="nil"/>
            </w:tcBorders>
            <w:shd w:val="clear" w:color="auto" w:fill="auto"/>
            <w:noWrap/>
            <w:vAlign w:val="bottom"/>
            <w:hideMark/>
          </w:tcPr>
          <w:p w14:paraId="11DE26B1" w14:textId="77777777" w:rsidR="002C07C6" w:rsidRPr="002C07C6" w:rsidRDefault="002C07C6" w:rsidP="008B6059">
            <w:pPr>
              <w:ind w:firstLine="0"/>
              <w:jc w:val="right"/>
              <w:rPr>
                <w:color w:val="000000"/>
              </w:rPr>
            </w:pPr>
            <w:r w:rsidRPr="002C07C6">
              <w:rPr>
                <w:color w:val="000000"/>
              </w:rPr>
              <w:t>(168.40)</w:t>
            </w:r>
          </w:p>
        </w:tc>
      </w:tr>
      <w:tr w:rsidR="002C07C6" w:rsidRPr="002C07C6" w14:paraId="3F3348B0" w14:textId="77777777" w:rsidTr="008B6059">
        <w:trPr>
          <w:trHeight w:val="315"/>
        </w:trPr>
        <w:tc>
          <w:tcPr>
            <w:tcW w:w="3003" w:type="dxa"/>
            <w:tcBorders>
              <w:top w:val="nil"/>
              <w:left w:val="nil"/>
              <w:bottom w:val="nil"/>
              <w:right w:val="nil"/>
            </w:tcBorders>
            <w:shd w:val="clear" w:color="auto" w:fill="auto"/>
            <w:noWrap/>
            <w:vAlign w:val="bottom"/>
            <w:hideMark/>
          </w:tcPr>
          <w:p w14:paraId="310EEFCC" w14:textId="77777777" w:rsidR="002C07C6" w:rsidRPr="002C07C6" w:rsidRDefault="002C07C6" w:rsidP="002C07C6">
            <w:pPr>
              <w:ind w:firstLine="0"/>
              <w:rPr>
                <w:color w:val="000000"/>
              </w:rPr>
            </w:pPr>
            <w:r w:rsidRPr="002C07C6">
              <w:rPr>
                <w:color w:val="000000"/>
              </w:rPr>
              <w:t>Gamification Framing</w:t>
            </w:r>
          </w:p>
        </w:tc>
        <w:tc>
          <w:tcPr>
            <w:tcW w:w="1497" w:type="dxa"/>
            <w:tcBorders>
              <w:top w:val="nil"/>
              <w:left w:val="nil"/>
              <w:bottom w:val="nil"/>
              <w:right w:val="nil"/>
            </w:tcBorders>
            <w:shd w:val="clear" w:color="auto" w:fill="auto"/>
            <w:noWrap/>
            <w:vAlign w:val="bottom"/>
            <w:hideMark/>
          </w:tcPr>
          <w:p w14:paraId="251242C6" w14:textId="77777777" w:rsidR="002C07C6" w:rsidRPr="002C07C6" w:rsidRDefault="002C07C6" w:rsidP="008B6059">
            <w:pPr>
              <w:ind w:firstLine="0"/>
              <w:jc w:val="right"/>
              <w:rPr>
                <w:color w:val="000000"/>
              </w:rPr>
            </w:pPr>
            <w:r w:rsidRPr="002C07C6">
              <w:rPr>
                <w:color w:val="000000"/>
              </w:rPr>
              <w:t>-379.3***</w:t>
            </w:r>
          </w:p>
        </w:tc>
        <w:tc>
          <w:tcPr>
            <w:tcW w:w="1720" w:type="dxa"/>
            <w:tcBorders>
              <w:top w:val="nil"/>
              <w:left w:val="nil"/>
              <w:bottom w:val="nil"/>
              <w:right w:val="nil"/>
            </w:tcBorders>
            <w:shd w:val="clear" w:color="auto" w:fill="auto"/>
            <w:noWrap/>
            <w:vAlign w:val="bottom"/>
            <w:hideMark/>
          </w:tcPr>
          <w:p w14:paraId="48985B5A" w14:textId="77777777" w:rsidR="002C07C6" w:rsidRPr="002C07C6" w:rsidRDefault="002C07C6" w:rsidP="008B6059">
            <w:pPr>
              <w:ind w:firstLine="0"/>
              <w:jc w:val="right"/>
              <w:rPr>
                <w:color w:val="000000"/>
              </w:rPr>
            </w:pPr>
            <w:r w:rsidRPr="002C07C6">
              <w:rPr>
                <w:color w:val="000000"/>
              </w:rPr>
              <w:t>-392.1***</w:t>
            </w:r>
          </w:p>
        </w:tc>
        <w:tc>
          <w:tcPr>
            <w:tcW w:w="1600" w:type="dxa"/>
            <w:tcBorders>
              <w:top w:val="nil"/>
              <w:left w:val="nil"/>
              <w:bottom w:val="nil"/>
              <w:right w:val="nil"/>
            </w:tcBorders>
            <w:shd w:val="clear" w:color="auto" w:fill="auto"/>
            <w:noWrap/>
            <w:vAlign w:val="bottom"/>
            <w:hideMark/>
          </w:tcPr>
          <w:p w14:paraId="17F57918" w14:textId="77777777" w:rsidR="002C07C6" w:rsidRPr="002C07C6" w:rsidRDefault="002C07C6" w:rsidP="008B6059">
            <w:pPr>
              <w:ind w:firstLine="0"/>
              <w:jc w:val="right"/>
              <w:rPr>
                <w:color w:val="000000"/>
              </w:rPr>
            </w:pPr>
            <w:r w:rsidRPr="002C07C6">
              <w:rPr>
                <w:color w:val="000000"/>
              </w:rPr>
              <w:t>-367.3***</w:t>
            </w:r>
          </w:p>
        </w:tc>
      </w:tr>
      <w:tr w:rsidR="002C07C6" w:rsidRPr="002C07C6" w14:paraId="4D9E2B03" w14:textId="77777777" w:rsidTr="008B6059">
        <w:trPr>
          <w:trHeight w:val="300"/>
        </w:trPr>
        <w:tc>
          <w:tcPr>
            <w:tcW w:w="3003" w:type="dxa"/>
            <w:tcBorders>
              <w:top w:val="nil"/>
              <w:left w:val="nil"/>
              <w:bottom w:val="nil"/>
              <w:right w:val="nil"/>
            </w:tcBorders>
            <w:shd w:val="clear" w:color="auto" w:fill="auto"/>
            <w:noWrap/>
            <w:vAlign w:val="bottom"/>
            <w:hideMark/>
          </w:tcPr>
          <w:p w14:paraId="2D785FE8" w14:textId="77777777" w:rsidR="002C07C6" w:rsidRPr="002C07C6" w:rsidRDefault="002C07C6" w:rsidP="002C07C6">
            <w:pPr>
              <w:ind w:firstLine="0"/>
              <w:rPr>
                <w:color w:val="000000"/>
              </w:rPr>
            </w:pPr>
          </w:p>
        </w:tc>
        <w:tc>
          <w:tcPr>
            <w:tcW w:w="1497" w:type="dxa"/>
            <w:tcBorders>
              <w:top w:val="nil"/>
              <w:left w:val="nil"/>
              <w:bottom w:val="nil"/>
              <w:right w:val="nil"/>
            </w:tcBorders>
            <w:shd w:val="clear" w:color="auto" w:fill="auto"/>
            <w:noWrap/>
            <w:vAlign w:val="bottom"/>
            <w:hideMark/>
          </w:tcPr>
          <w:p w14:paraId="7E040432" w14:textId="77777777" w:rsidR="002C07C6" w:rsidRPr="002C07C6" w:rsidRDefault="002C07C6" w:rsidP="008B6059">
            <w:pPr>
              <w:ind w:firstLine="0"/>
              <w:jc w:val="right"/>
              <w:rPr>
                <w:color w:val="000000"/>
              </w:rPr>
            </w:pPr>
            <w:r w:rsidRPr="002C07C6">
              <w:rPr>
                <w:color w:val="000000"/>
              </w:rPr>
              <w:t>(75.41)</w:t>
            </w:r>
          </w:p>
        </w:tc>
        <w:tc>
          <w:tcPr>
            <w:tcW w:w="1720" w:type="dxa"/>
            <w:tcBorders>
              <w:top w:val="nil"/>
              <w:left w:val="nil"/>
              <w:bottom w:val="nil"/>
              <w:right w:val="nil"/>
            </w:tcBorders>
            <w:shd w:val="clear" w:color="auto" w:fill="auto"/>
            <w:noWrap/>
            <w:vAlign w:val="bottom"/>
            <w:hideMark/>
          </w:tcPr>
          <w:p w14:paraId="7B21E5DA" w14:textId="77777777" w:rsidR="002C07C6" w:rsidRPr="002C07C6" w:rsidRDefault="002C07C6" w:rsidP="008B6059">
            <w:pPr>
              <w:ind w:firstLine="0"/>
              <w:jc w:val="right"/>
              <w:rPr>
                <w:color w:val="000000"/>
              </w:rPr>
            </w:pPr>
            <w:r w:rsidRPr="002C07C6">
              <w:rPr>
                <w:color w:val="000000"/>
              </w:rPr>
              <w:t>(76.46)</w:t>
            </w:r>
          </w:p>
        </w:tc>
        <w:tc>
          <w:tcPr>
            <w:tcW w:w="1600" w:type="dxa"/>
            <w:tcBorders>
              <w:top w:val="nil"/>
              <w:left w:val="nil"/>
              <w:bottom w:val="nil"/>
              <w:right w:val="nil"/>
            </w:tcBorders>
            <w:shd w:val="clear" w:color="auto" w:fill="auto"/>
            <w:noWrap/>
            <w:vAlign w:val="bottom"/>
            <w:hideMark/>
          </w:tcPr>
          <w:p w14:paraId="5E7BC76B" w14:textId="77777777" w:rsidR="002C07C6" w:rsidRPr="002C07C6" w:rsidRDefault="002C07C6" w:rsidP="008B6059">
            <w:pPr>
              <w:ind w:firstLine="0"/>
              <w:jc w:val="right"/>
              <w:rPr>
                <w:color w:val="000000"/>
              </w:rPr>
            </w:pPr>
            <w:r w:rsidRPr="002C07C6">
              <w:rPr>
                <w:color w:val="000000"/>
              </w:rPr>
              <w:t>(127.40)</w:t>
            </w:r>
          </w:p>
        </w:tc>
      </w:tr>
      <w:tr w:rsidR="002C07C6" w:rsidRPr="002C07C6" w14:paraId="7BB085DD" w14:textId="77777777" w:rsidTr="008B6059">
        <w:trPr>
          <w:trHeight w:val="315"/>
        </w:trPr>
        <w:tc>
          <w:tcPr>
            <w:tcW w:w="3003" w:type="dxa"/>
            <w:tcBorders>
              <w:top w:val="nil"/>
              <w:left w:val="nil"/>
              <w:bottom w:val="nil"/>
              <w:right w:val="nil"/>
            </w:tcBorders>
            <w:shd w:val="clear" w:color="auto" w:fill="auto"/>
            <w:noWrap/>
            <w:vAlign w:val="bottom"/>
            <w:hideMark/>
          </w:tcPr>
          <w:p w14:paraId="47E4F572" w14:textId="77777777" w:rsidR="002C07C6" w:rsidRPr="002C07C6" w:rsidRDefault="002C07C6" w:rsidP="002C07C6">
            <w:pPr>
              <w:ind w:firstLine="0"/>
              <w:rPr>
                <w:color w:val="000000"/>
              </w:rPr>
            </w:pPr>
            <w:r w:rsidRPr="002C07C6">
              <w:rPr>
                <w:color w:val="000000"/>
              </w:rPr>
              <w:t>Crowdfunding Framing</w:t>
            </w:r>
          </w:p>
        </w:tc>
        <w:tc>
          <w:tcPr>
            <w:tcW w:w="1497" w:type="dxa"/>
            <w:tcBorders>
              <w:top w:val="nil"/>
              <w:left w:val="nil"/>
              <w:bottom w:val="nil"/>
              <w:right w:val="nil"/>
            </w:tcBorders>
            <w:shd w:val="clear" w:color="auto" w:fill="auto"/>
            <w:vAlign w:val="center"/>
            <w:hideMark/>
          </w:tcPr>
          <w:p w14:paraId="35A8EAB6" w14:textId="77777777" w:rsidR="002C07C6" w:rsidRPr="002C07C6" w:rsidRDefault="002C07C6" w:rsidP="008B6059">
            <w:pPr>
              <w:ind w:firstLine="0"/>
              <w:jc w:val="right"/>
              <w:rPr>
                <w:color w:val="000000"/>
              </w:rPr>
            </w:pPr>
            <w:r w:rsidRPr="002C07C6">
              <w:rPr>
                <w:color w:val="000000"/>
              </w:rPr>
              <w:t>-58.79</w:t>
            </w:r>
          </w:p>
        </w:tc>
        <w:tc>
          <w:tcPr>
            <w:tcW w:w="1720" w:type="dxa"/>
            <w:tcBorders>
              <w:top w:val="nil"/>
              <w:left w:val="nil"/>
              <w:bottom w:val="nil"/>
              <w:right w:val="nil"/>
            </w:tcBorders>
            <w:shd w:val="clear" w:color="auto" w:fill="auto"/>
            <w:vAlign w:val="center"/>
            <w:hideMark/>
          </w:tcPr>
          <w:p w14:paraId="2C4108DB" w14:textId="77777777" w:rsidR="002C07C6" w:rsidRPr="002C07C6" w:rsidRDefault="002C07C6" w:rsidP="008B6059">
            <w:pPr>
              <w:ind w:firstLine="0"/>
              <w:jc w:val="right"/>
              <w:rPr>
                <w:color w:val="000000"/>
              </w:rPr>
            </w:pPr>
            <w:r w:rsidRPr="002C07C6">
              <w:rPr>
                <w:color w:val="000000"/>
              </w:rPr>
              <w:t>-51.06</w:t>
            </w:r>
          </w:p>
        </w:tc>
        <w:tc>
          <w:tcPr>
            <w:tcW w:w="1600" w:type="dxa"/>
            <w:tcBorders>
              <w:top w:val="nil"/>
              <w:left w:val="nil"/>
              <w:bottom w:val="nil"/>
              <w:right w:val="nil"/>
            </w:tcBorders>
            <w:shd w:val="clear" w:color="auto" w:fill="auto"/>
            <w:vAlign w:val="center"/>
            <w:hideMark/>
          </w:tcPr>
          <w:p w14:paraId="55FD9100" w14:textId="77777777" w:rsidR="002C07C6" w:rsidRPr="002C07C6" w:rsidRDefault="002C07C6" w:rsidP="008B6059">
            <w:pPr>
              <w:ind w:firstLine="0"/>
              <w:jc w:val="right"/>
              <w:rPr>
                <w:color w:val="000000"/>
              </w:rPr>
            </w:pPr>
            <w:r w:rsidRPr="002C07C6">
              <w:rPr>
                <w:color w:val="000000"/>
              </w:rPr>
              <w:t>280</w:t>
            </w:r>
          </w:p>
        </w:tc>
      </w:tr>
      <w:tr w:rsidR="002C07C6" w:rsidRPr="002C07C6" w14:paraId="160B9878" w14:textId="77777777" w:rsidTr="008B6059">
        <w:trPr>
          <w:trHeight w:val="300"/>
        </w:trPr>
        <w:tc>
          <w:tcPr>
            <w:tcW w:w="3003" w:type="dxa"/>
            <w:tcBorders>
              <w:top w:val="nil"/>
              <w:left w:val="nil"/>
              <w:bottom w:val="nil"/>
              <w:right w:val="nil"/>
            </w:tcBorders>
            <w:shd w:val="clear" w:color="auto" w:fill="auto"/>
            <w:noWrap/>
            <w:vAlign w:val="bottom"/>
            <w:hideMark/>
          </w:tcPr>
          <w:p w14:paraId="3E0C5976" w14:textId="77777777" w:rsidR="002C07C6" w:rsidRPr="002C07C6" w:rsidRDefault="002C07C6" w:rsidP="002C07C6">
            <w:pPr>
              <w:ind w:firstLine="0"/>
              <w:jc w:val="right"/>
              <w:rPr>
                <w:color w:val="000000"/>
              </w:rPr>
            </w:pPr>
          </w:p>
        </w:tc>
        <w:tc>
          <w:tcPr>
            <w:tcW w:w="1497" w:type="dxa"/>
            <w:tcBorders>
              <w:top w:val="nil"/>
              <w:left w:val="nil"/>
              <w:bottom w:val="nil"/>
              <w:right w:val="nil"/>
            </w:tcBorders>
            <w:shd w:val="clear" w:color="auto" w:fill="auto"/>
            <w:noWrap/>
            <w:vAlign w:val="bottom"/>
            <w:hideMark/>
          </w:tcPr>
          <w:p w14:paraId="7AD0C62D" w14:textId="77777777" w:rsidR="002C07C6" w:rsidRPr="002C07C6" w:rsidRDefault="002C07C6" w:rsidP="008B6059">
            <w:pPr>
              <w:ind w:firstLine="0"/>
              <w:jc w:val="right"/>
              <w:rPr>
                <w:color w:val="000000"/>
              </w:rPr>
            </w:pPr>
            <w:r w:rsidRPr="002C07C6">
              <w:rPr>
                <w:color w:val="000000"/>
              </w:rPr>
              <w:t>(128.50)</w:t>
            </w:r>
          </w:p>
        </w:tc>
        <w:tc>
          <w:tcPr>
            <w:tcW w:w="1720" w:type="dxa"/>
            <w:tcBorders>
              <w:top w:val="nil"/>
              <w:left w:val="nil"/>
              <w:bottom w:val="nil"/>
              <w:right w:val="nil"/>
            </w:tcBorders>
            <w:shd w:val="clear" w:color="auto" w:fill="auto"/>
            <w:noWrap/>
            <w:vAlign w:val="bottom"/>
            <w:hideMark/>
          </w:tcPr>
          <w:p w14:paraId="364FA309" w14:textId="77777777" w:rsidR="002C07C6" w:rsidRPr="002C07C6" w:rsidRDefault="002C07C6" w:rsidP="008B6059">
            <w:pPr>
              <w:ind w:firstLine="0"/>
              <w:jc w:val="right"/>
              <w:rPr>
                <w:color w:val="000000"/>
              </w:rPr>
            </w:pPr>
            <w:r w:rsidRPr="002C07C6">
              <w:rPr>
                <w:color w:val="000000"/>
              </w:rPr>
              <w:t>(130.10)</w:t>
            </w:r>
          </w:p>
        </w:tc>
        <w:tc>
          <w:tcPr>
            <w:tcW w:w="1600" w:type="dxa"/>
            <w:tcBorders>
              <w:top w:val="nil"/>
              <w:left w:val="nil"/>
              <w:bottom w:val="nil"/>
              <w:right w:val="nil"/>
            </w:tcBorders>
            <w:shd w:val="clear" w:color="auto" w:fill="auto"/>
            <w:noWrap/>
            <w:vAlign w:val="bottom"/>
            <w:hideMark/>
          </w:tcPr>
          <w:p w14:paraId="282E5F52" w14:textId="77777777" w:rsidR="002C07C6" w:rsidRPr="002C07C6" w:rsidRDefault="002C07C6" w:rsidP="008B6059">
            <w:pPr>
              <w:ind w:firstLine="0"/>
              <w:jc w:val="right"/>
              <w:rPr>
                <w:color w:val="000000"/>
              </w:rPr>
            </w:pPr>
            <w:r w:rsidRPr="002C07C6">
              <w:rPr>
                <w:color w:val="000000"/>
              </w:rPr>
              <w:t>(172.40)</w:t>
            </w:r>
          </w:p>
        </w:tc>
      </w:tr>
      <w:tr w:rsidR="002C07C6" w:rsidRPr="002C07C6" w14:paraId="03720EBE" w14:textId="77777777" w:rsidTr="008B6059">
        <w:trPr>
          <w:trHeight w:val="315"/>
        </w:trPr>
        <w:tc>
          <w:tcPr>
            <w:tcW w:w="3003" w:type="dxa"/>
            <w:tcBorders>
              <w:top w:val="nil"/>
              <w:left w:val="nil"/>
              <w:bottom w:val="nil"/>
              <w:right w:val="nil"/>
            </w:tcBorders>
            <w:shd w:val="clear" w:color="auto" w:fill="auto"/>
            <w:noWrap/>
            <w:vAlign w:val="bottom"/>
            <w:hideMark/>
          </w:tcPr>
          <w:p w14:paraId="55E4F89A" w14:textId="77777777" w:rsidR="002C07C6" w:rsidRPr="002C07C6" w:rsidRDefault="002C07C6" w:rsidP="002C07C6">
            <w:pPr>
              <w:ind w:firstLine="0"/>
              <w:rPr>
                <w:color w:val="000000"/>
              </w:rPr>
            </w:pPr>
            <w:r w:rsidRPr="002C07C6">
              <w:rPr>
                <w:color w:val="000000"/>
              </w:rPr>
              <w:t>Total Tweets</w:t>
            </w:r>
          </w:p>
        </w:tc>
        <w:tc>
          <w:tcPr>
            <w:tcW w:w="1497" w:type="dxa"/>
            <w:tcBorders>
              <w:top w:val="nil"/>
              <w:left w:val="nil"/>
              <w:bottom w:val="nil"/>
              <w:right w:val="nil"/>
            </w:tcBorders>
            <w:shd w:val="clear" w:color="auto" w:fill="auto"/>
            <w:noWrap/>
            <w:vAlign w:val="bottom"/>
            <w:hideMark/>
          </w:tcPr>
          <w:p w14:paraId="4C2210F3" w14:textId="77777777" w:rsidR="002C07C6" w:rsidRPr="002C07C6" w:rsidRDefault="002C07C6" w:rsidP="008B6059">
            <w:pPr>
              <w:ind w:firstLine="0"/>
              <w:jc w:val="right"/>
              <w:rPr>
                <w:color w:val="000000"/>
              </w:rPr>
            </w:pPr>
            <w:r w:rsidRPr="002C07C6">
              <w:rPr>
                <w:color w:val="000000"/>
              </w:rPr>
              <w:t>179.2***</w:t>
            </w:r>
          </w:p>
        </w:tc>
        <w:tc>
          <w:tcPr>
            <w:tcW w:w="1720" w:type="dxa"/>
            <w:tcBorders>
              <w:top w:val="nil"/>
              <w:left w:val="nil"/>
              <w:bottom w:val="nil"/>
              <w:right w:val="nil"/>
            </w:tcBorders>
            <w:shd w:val="clear" w:color="auto" w:fill="auto"/>
            <w:noWrap/>
            <w:vAlign w:val="bottom"/>
            <w:hideMark/>
          </w:tcPr>
          <w:p w14:paraId="51F10E6C" w14:textId="77777777" w:rsidR="002C07C6" w:rsidRPr="002C07C6" w:rsidRDefault="002C07C6" w:rsidP="008B6059">
            <w:pPr>
              <w:ind w:firstLine="0"/>
              <w:jc w:val="right"/>
              <w:rPr>
                <w:color w:val="000000"/>
              </w:rPr>
            </w:pPr>
            <w:r w:rsidRPr="002C07C6">
              <w:rPr>
                <w:color w:val="000000"/>
              </w:rPr>
              <w:t>176.8**</w:t>
            </w:r>
          </w:p>
        </w:tc>
        <w:tc>
          <w:tcPr>
            <w:tcW w:w="1600" w:type="dxa"/>
            <w:tcBorders>
              <w:top w:val="nil"/>
              <w:left w:val="nil"/>
              <w:bottom w:val="nil"/>
              <w:right w:val="nil"/>
            </w:tcBorders>
            <w:shd w:val="clear" w:color="auto" w:fill="auto"/>
            <w:noWrap/>
            <w:vAlign w:val="bottom"/>
            <w:hideMark/>
          </w:tcPr>
          <w:p w14:paraId="27C31E67" w14:textId="77777777" w:rsidR="002C07C6" w:rsidRPr="002C07C6" w:rsidRDefault="002C07C6" w:rsidP="008B6059">
            <w:pPr>
              <w:ind w:firstLine="0"/>
              <w:jc w:val="right"/>
              <w:rPr>
                <w:color w:val="000000"/>
              </w:rPr>
            </w:pPr>
            <w:r w:rsidRPr="002C07C6">
              <w:rPr>
                <w:color w:val="000000"/>
              </w:rPr>
              <w:t>139.5**</w:t>
            </w:r>
          </w:p>
        </w:tc>
      </w:tr>
      <w:tr w:rsidR="002C07C6" w:rsidRPr="002C07C6" w14:paraId="0C4A7F75" w14:textId="77777777" w:rsidTr="008B6059">
        <w:trPr>
          <w:trHeight w:val="300"/>
        </w:trPr>
        <w:tc>
          <w:tcPr>
            <w:tcW w:w="3003" w:type="dxa"/>
            <w:tcBorders>
              <w:top w:val="nil"/>
              <w:left w:val="nil"/>
              <w:bottom w:val="nil"/>
              <w:right w:val="nil"/>
            </w:tcBorders>
            <w:shd w:val="clear" w:color="auto" w:fill="auto"/>
            <w:noWrap/>
            <w:vAlign w:val="bottom"/>
            <w:hideMark/>
          </w:tcPr>
          <w:p w14:paraId="49AC40C7" w14:textId="77777777" w:rsidR="002C07C6" w:rsidRPr="002C07C6" w:rsidRDefault="002C07C6" w:rsidP="002C07C6">
            <w:pPr>
              <w:ind w:firstLine="0"/>
              <w:jc w:val="right"/>
              <w:rPr>
                <w:color w:val="000000"/>
              </w:rPr>
            </w:pPr>
          </w:p>
        </w:tc>
        <w:tc>
          <w:tcPr>
            <w:tcW w:w="1497" w:type="dxa"/>
            <w:tcBorders>
              <w:top w:val="nil"/>
              <w:left w:val="nil"/>
              <w:bottom w:val="nil"/>
              <w:right w:val="nil"/>
            </w:tcBorders>
            <w:shd w:val="clear" w:color="auto" w:fill="auto"/>
            <w:noWrap/>
            <w:vAlign w:val="bottom"/>
            <w:hideMark/>
          </w:tcPr>
          <w:p w14:paraId="703DDD25" w14:textId="77777777" w:rsidR="002C07C6" w:rsidRPr="002C07C6" w:rsidRDefault="002C07C6" w:rsidP="008B6059">
            <w:pPr>
              <w:ind w:firstLine="0"/>
              <w:jc w:val="right"/>
              <w:rPr>
                <w:color w:val="000000"/>
              </w:rPr>
            </w:pPr>
            <w:r w:rsidRPr="002C07C6">
              <w:rPr>
                <w:color w:val="000000"/>
              </w:rPr>
              <w:t>(58.70)</w:t>
            </w:r>
          </w:p>
        </w:tc>
        <w:tc>
          <w:tcPr>
            <w:tcW w:w="1720" w:type="dxa"/>
            <w:tcBorders>
              <w:top w:val="nil"/>
              <w:left w:val="nil"/>
              <w:bottom w:val="nil"/>
              <w:right w:val="nil"/>
            </w:tcBorders>
            <w:shd w:val="clear" w:color="auto" w:fill="auto"/>
            <w:noWrap/>
            <w:vAlign w:val="bottom"/>
            <w:hideMark/>
          </w:tcPr>
          <w:p w14:paraId="1059BFE4" w14:textId="77777777" w:rsidR="002C07C6" w:rsidRPr="002C07C6" w:rsidRDefault="002C07C6" w:rsidP="008B6059">
            <w:pPr>
              <w:ind w:firstLine="0"/>
              <w:jc w:val="right"/>
              <w:rPr>
                <w:color w:val="000000"/>
              </w:rPr>
            </w:pPr>
            <w:r w:rsidRPr="002C07C6">
              <w:rPr>
                <w:color w:val="000000"/>
              </w:rPr>
              <w:t>(59.35)</w:t>
            </w:r>
          </w:p>
        </w:tc>
        <w:tc>
          <w:tcPr>
            <w:tcW w:w="1600" w:type="dxa"/>
            <w:tcBorders>
              <w:top w:val="nil"/>
              <w:left w:val="nil"/>
              <w:bottom w:val="nil"/>
              <w:right w:val="nil"/>
            </w:tcBorders>
            <w:shd w:val="clear" w:color="auto" w:fill="auto"/>
            <w:noWrap/>
            <w:vAlign w:val="bottom"/>
            <w:hideMark/>
          </w:tcPr>
          <w:p w14:paraId="5E235396" w14:textId="77777777" w:rsidR="002C07C6" w:rsidRPr="002C07C6" w:rsidRDefault="002C07C6" w:rsidP="008B6059">
            <w:pPr>
              <w:ind w:firstLine="0"/>
              <w:jc w:val="right"/>
              <w:rPr>
                <w:color w:val="000000"/>
              </w:rPr>
            </w:pPr>
            <w:r w:rsidRPr="002C07C6">
              <w:rPr>
                <w:color w:val="000000"/>
              </w:rPr>
              <w:t>(65.38)</w:t>
            </w:r>
          </w:p>
        </w:tc>
      </w:tr>
      <w:tr w:rsidR="002C07C6" w:rsidRPr="002C07C6" w14:paraId="67A0EE8C" w14:textId="77777777" w:rsidTr="008B6059">
        <w:trPr>
          <w:trHeight w:val="315"/>
        </w:trPr>
        <w:tc>
          <w:tcPr>
            <w:tcW w:w="3003" w:type="dxa"/>
            <w:tcBorders>
              <w:top w:val="nil"/>
              <w:left w:val="nil"/>
              <w:bottom w:val="nil"/>
              <w:right w:val="nil"/>
            </w:tcBorders>
            <w:shd w:val="clear" w:color="auto" w:fill="auto"/>
            <w:noWrap/>
            <w:vAlign w:val="bottom"/>
            <w:hideMark/>
          </w:tcPr>
          <w:p w14:paraId="21085671" w14:textId="77777777" w:rsidR="002C07C6" w:rsidRPr="002C07C6" w:rsidRDefault="002C07C6" w:rsidP="002C07C6">
            <w:pPr>
              <w:ind w:firstLine="0"/>
              <w:rPr>
                <w:color w:val="000000"/>
              </w:rPr>
            </w:pPr>
            <w:r w:rsidRPr="002C07C6">
              <w:rPr>
                <w:color w:val="000000"/>
              </w:rPr>
              <w:t>Unrestricted Funds</w:t>
            </w:r>
          </w:p>
        </w:tc>
        <w:tc>
          <w:tcPr>
            <w:tcW w:w="1497" w:type="dxa"/>
            <w:tcBorders>
              <w:top w:val="nil"/>
              <w:left w:val="nil"/>
              <w:bottom w:val="nil"/>
              <w:right w:val="nil"/>
            </w:tcBorders>
            <w:shd w:val="clear" w:color="auto" w:fill="auto"/>
            <w:noWrap/>
            <w:vAlign w:val="bottom"/>
            <w:hideMark/>
          </w:tcPr>
          <w:p w14:paraId="57E8E399" w14:textId="77777777" w:rsidR="002C07C6" w:rsidRPr="002C07C6" w:rsidRDefault="002C07C6" w:rsidP="008B6059">
            <w:pPr>
              <w:ind w:firstLine="0"/>
              <w:jc w:val="right"/>
              <w:rPr>
                <w:color w:val="000000"/>
              </w:rPr>
            </w:pPr>
          </w:p>
        </w:tc>
        <w:tc>
          <w:tcPr>
            <w:tcW w:w="1720" w:type="dxa"/>
            <w:tcBorders>
              <w:top w:val="nil"/>
              <w:left w:val="nil"/>
              <w:bottom w:val="nil"/>
              <w:right w:val="nil"/>
            </w:tcBorders>
            <w:shd w:val="clear" w:color="auto" w:fill="auto"/>
            <w:noWrap/>
            <w:vAlign w:val="bottom"/>
            <w:hideMark/>
          </w:tcPr>
          <w:p w14:paraId="1C70476A" w14:textId="77777777" w:rsidR="002C07C6" w:rsidRPr="002C07C6" w:rsidRDefault="002C07C6" w:rsidP="008B6059">
            <w:pPr>
              <w:ind w:firstLine="0"/>
              <w:jc w:val="right"/>
              <w:rPr>
                <w:color w:val="000000"/>
              </w:rPr>
            </w:pPr>
            <w:r w:rsidRPr="002C07C6">
              <w:rPr>
                <w:color w:val="000000"/>
              </w:rPr>
              <w:t>1.80E-05</w:t>
            </w:r>
          </w:p>
        </w:tc>
        <w:tc>
          <w:tcPr>
            <w:tcW w:w="1600" w:type="dxa"/>
            <w:tcBorders>
              <w:top w:val="nil"/>
              <w:left w:val="nil"/>
              <w:bottom w:val="nil"/>
              <w:right w:val="nil"/>
            </w:tcBorders>
            <w:shd w:val="clear" w:color="auto" w:fill="auto"/>
            <w:noWrap/>
            <w:vAlign w:val="bottom"/>
            <w:hideMark/>
          </w:tcPr>
          <w:p w14:paraId="1A707764" w14:textId="77777777" w:rsidR="002C07C6" w:rsidRPr="002C07C6" w:rsidRDefault="002C07C6" w:rsidP="008B6059">
            <w:pPr>
              <w:ind w:firstLine="0"/>
              <w:jc w:val="right"/>
              <w:rPr>
                <w:color w:val="000000"/>
              </w:rPr>
            </w:pPr>
            <w:r w:rsidRPr="002C07C6">
              <w:rPr>
                <w:color w:val="000000"/>
              </w:rPr>
              <w:t>1.84E-05</w:t>
            </w:r>
          </w:p>
        </w:tc>
      </w:tr>
      <w:tr w:rsidR="002C07C6" w:rsidRPr="002C07C6" w14:paraId="03C1AF0B" w14:textId="77777777" w:rsidTr="008B6059">
        <w:trPr>
          <w:trHeight w:val="300"/>
        </w:trPr>
        <w:tc>
          <w:tcPr>
            <w:tcW w:w="3003" w:type="dxa"/>
            <w:tcBorders>
              <w:top w:val="nil"/>
              <w:left w:val="nil"/>
              <w:bottom w:val="nil"/>
              <w:right w:val="nil"/>
            </w:tcBorders>
            <w:shd w:val="clear" w:color="auto" w:fill="auto"/>
            <w:noWrap/>
            <w:vAlign w:val="bottom"/>
            <w:hideMark/>
          </w:tcPr>
          <w:p w14:paraId="23EC6C0B" w14:textId="77777777" w:rsidR="002C07C6" w:rsidRPr="002C07C6" w:rsidRDefault="002C07C6" w:rsidP="002C07C6">
            <w:pPr>
              <w:ind w:firstLine="0"/>
              <w:jc w:val="right"/>
              <w:rPr>
                <w:color w:val="000000"/>
              </w:rPr>
            </w:pPr>
          </w:p>
        </w:tc>
        <w:tc>
          <w:tcPr>
            <w:tcW w:w="1497" w:type="dxa"/>
            <w:tcBorders>
              <w:top w:val="nil"/>
              <w:left w:val="nil"/>
              <w:bottom w:val="nil"/>
              <w:right w:val="nil"/>
            </w:tcBorders>
            <w:shd w:val="clear" w:color="auto" w:fill="auto"/>
            <w:noWrap/>
            <w:vAlign w:val="bottom"/>
            <w:hideMark/>
          </w:tcPr>
          <w:p w14:paraId="3FF9AD26" w14:textId="77777777" w:rsidR="002C07C6" w:rsidRPr="002C07C6" w:rsidRDefault="002C07C6" w:rsidP="008B6059">
            <w:pPr>
              <w:ind w:firstLine="0"/>
              <w:jc w:val="right"/>
            </w:pPr>
          </w:p>
        </w:tc>
        <w:tc>
          <w:tcPr>
            <w:tcW w:w="1720" w:type="dxa"/>
            <w:tcBorders>
              <w:top w:val="nil"/>
              <w:left w:val="nil"/>
              <w:bottom w:val="nil"/>
              <w:right w:val="nil"/>
            </w:tcBorders>
            <w:shd w:val="clear" w:color="auto" w:fill="auto"/>
            <w:noWrap/>
            <w:vAlign w:val="bottom"/>
            <w:hideMark/>
          </w:tcPr>
          <w:p w14:paraId="68746BC2" w14:textId="25CF7FF1" w:rsidR="002C07C6" w:rsidRPr="002C07C6" w:rsidRDefault="002C07C6" w:rsidP="008B6059">
            <w:pPr>
              <w:ind w:firstLine="0"/>
              <w:jc w:val="right"/>
              <w:rPr>
                <w:color w:val="000000"/>
              </w:rPr>
            </w:pPr>
            <w:r w:rsidRPr="002C07C6">
              <w:rPr>
                <w:color w:val="000000"/>
              </w:rPr>
              <w:t>(1.89E-05)</w:t>
            </w:r>
          </w:p>
        </w:tc>
        <w:tc>
          <w:tcPr>
            <w:tcW w:w="1600" w:type="dxa"/>
            <w:tcBorders>
              <w:top w:val="nil"/>
              <w:left w:val="nil"/>
              <w:bottom w:val="nil"/>
              <w:right w:val="nil"/>
            </w:tcBorders>
            <w:shd w:val="clear" w:color="auto" w:fill="auto"/>
            <w:noWrap/>
            <w:vAlign w:val="bottom"/>
            <w:hideMark/>
          </w:tcPr>
          <w:p w14:paraId="5556F354" w14:textId="77777777" w:rsidR="002C07C6" w:rsidRPr="002C07C6" w:rsidRDefault="002C07C6" w:rsidP="008B6059">
            <w:pPr>
              <w:ind w:firstLine="0"/>
              <w:jc w:val="right"/>
              <w:rPr>
                <w:color w:val="000000"/>
              </w:rPr>
            </w:pPr>
            <w:r w:rsidRPr="002C07C6">
              <w:rPr>
                <w:color w:val="000000"/>
              </w:rPr>
              <w:t>(1.88E-05)</w:t>
            </w:r>
          </w:p>
        </w:tc>
      </w:tr>
      <w:tr w:rsidR="002C07C6" w:rsidRPr="002C07C6" w14:paraId="70DC85A2" w14:textId="77777777" w:rsidTr="008B6059">
        <w:trPr>
          <w:trHeight w:val="300"/>
        </w:trPr>
        <w:tc>
          <w:tcPr>
            <w:tcW w:w="3003" w:type="dxa"/>
            <w:tcBorders>
              <w:top w:val="nil"/>
              <w:left w:val="nil"/>
              <w:bottom w:val="nil"/>
              <w:right w:val="nil"/>
            </w:tcBorders>
            <w:shd w:val="clear" w:color="auto" w:fill="auto"/>
            <w:noWrap/>
            <w:vAlign w:val="bottom"/>
            <w:hideMark/>
          </w:tcPr>
          <w:p w14:paraId="3864DE16" w14:textId="77777777" w:rsidR="002C07C6" w:rsidRPr="002C07C6" w:rsidRDefault="002C07C6" w:rsidP="002C07C6">
            <w:pPr>
              <w:ind w:firstLine="0"/>
              <w:rPr>
                <w:color w:val="000000"/>
              </w:rPr>
            </w:pPr>
            <w:r w:rsidRPr="002C07C6">
              <w:rPr>
                <w:color w:val="000000"/>
              </w:rPr>
              <w:t>New Donors</w:t>
            </w:r>
          </w:p>
        </w:tc>
        <w:tc>
          <w:tcPr>
            <w:tcW w:w="1497" w:type="dxa"/>
            <w:tcBorders>
              <w:top w:val="nil"/>
              <w:left w:val="nil"/>
              <w:bottom w:val="nil"/>
              <w:right w:val="nil"/>
            </w:tcBorders>
            <w:shd w:val="clear" w:color="auto" w:fill="auto"/>
            <w:noWrap/>
            <w:vAlign w:val="bottom"/>
            <w:hideMark/>
          </w:tcPr>
          <w:p w14:paraId="10A8C876" w14:textId="77777777" w:rsidR="002C07C6" w:rsidRPr="002C07C6" w:rsidRDefault="002C07C6" w:rsidP="008B6059">
            <w:pPr>
              <w:ind w:firstLine="0"/>
              <w:jc w:val="right"/>
              <w:rPr>
                <w:color w:val="000000"/>
              </w:rPr>
            </w:pPr>
          </w:p>
        </w:tc>
        <w:tc>
          <w:tcPr>
            <w:tcW w:w="1720" w:type="dxa"/>
            <w:tcBorders>
              <w:top w:val="nil"/>
              <w:left w:val="nil"/>
              <w:bottom w:val="nil"/>
              <w:right w:val="nil"/>
            </w:tcBorders>
            <w:shd w:val="clear" w:color="auto" w:fill="auto"/>
            <w:noWrap/>
            <w:vAlign w:val="bottom"/>
            <w:hideMark/>
          </w:tcPr>
          <w:p w14:paraId="361F21DF" w14:textId="77777777" w:rsidR="002C07C6" w:rsidRPr="002C07C6" w:rsidRDefault="002C07C6" w:rsidP="008B6059">
            <w:pPr>
              <w:ind w:firstLine="0"/>
              <w:jc w:val="right"/>
              <w:rPr>
                <w:color w:val="000000"/>
              </w:rPr>
            </w:pPr>
            <w:r w:rsidRPr="002C07C6">
              <w:rPr>
                <w:color w:val="000000"/>
              </w:rPr>
              <w:t>-0.0179</w:t>
            </w:r>
          </w:p>
        </w:tc>
        <w:tc>
          <w:tcPr>
            <w:tcW w:w="1600" w:type="dxa"/>
            <w:tcBorders>
              <w:top w:val="nil"/>
              <w:left w:val="nil"/>
              <w:bottom w:val="nil"/>
              <w:right w:val="nil"/>
            </w:tcBorders>
            <w:shd w:val="clear" w:color="auto" w:fill="auto"/>
            <w:noWrap/>
            <w:vAlign w:val="bottom"/>
            <w:hideMark/>
          </w:tcPr>
          <w:p w14:paraId="63633B08" w14:textId="77777777" w:rsidR="002C07C6" w:rsidRPr="002C07C6" w:rsidRDefault="002C07C6" w:rsidP="008B6059">
            <w:pPr>
              <w:ind w:firstLine="0"/>
              <w:jc w:val="right"/>
              <w:rPr>
                <w:color w:val="000000"/>
              </w:rPr>
            </w:pPr>
            <w:r w:rsidRPr="002C07C6">
              <w:rPr>
                <w:color w:val="000000"/>
              </w:rPr>
              <w:t>-0.0201</w:t>
            </w:r>
          </w:p>
        </w:tc>
      </w:tr>
      <w:tr w:rsidR="002C07C6" w:rsidRPr="002C07C6" w14:paraId="3A7FE8F6" w14:textId="77777777" w:rsidTr="008B6059">
        <w:trPr>
          <w:trHeight w:val="315"/>
        </w:trPr>
        <w:tc>
          <w:tcPr>
            <w:tcW w:w="3003" w:type="dxa"/>
            <w:tcBorders>
              <w:top w:val="nil"/>
              <w:left w:val="nil"/>
              <w:bottom w:val="nil"/>
              <w:right w:val="nil"/>
            </w:tcBorders>
            <w:shd w:val="clear" w:color="auto" w:fill="auto"/>
            <w:noWrap/>
            <w:vAlign w:val="bottom"/>
            <w:hideMark/>
          </w:tcPr>
          <w:p w14:paraId="56FF8EFD" w14:textId="77777777" w:rsidR="002C07C6" w:rsidRPr="002C07C6" w:rsidRDefault="002C07C6" w:rsidP="002C07C6">
            <w:pPr>
              <w:ind w:firstLine="0"/>
              <w:jc w:val="right"/>
              <w:rPr>
                <w:color w:val="000000"/>
              </w:rPr>
            </w:pPr>
          </w:p>
        </w:tc>
        <w:tc>
          <w:tcPr>
            <w:tcW w:w="1497" w:type="dxa"/>
            <w:tcBorders>
              <w:top w:val="nil"/>
              <w:left w:val="nil"/>
              <w:bottom w:val="nil"/>
              <w:right w:val="nil"/>
            </w:tcBorders>
            <w:shd w:val="clear" w:color="auto" w:fill="auto"/>
            <w:noWrap/>
            <w:vAlign w:val="bottom"/>
            <w:hideMark/>
          </w:tcPr>
          <w:p w14:paraId="251D528F" w14:textId="77777777" w:rsidR="002C07C6" w:rsidRPr="002C07C6" w:rsidRDefault="002C07C6" w:rsidP="008B6059">
            <w:pPr>
              <w:ind w:firstLine="0"/>
              <w:jc w:val="right"/>
            </w:pPr>
          </w:p>
        </w:tc>
        <w:tc>
          <w:tcPr>
            <w:tcW w:w="1720" w:type="dxa"/>
            <w:tcBorders>
              <w:top w:val="nil"/>
              <w:left w:val="nil"/>
              <w:bottom w:val="nil"/>
              <w:right w:val="nil"/>
            </w:tcBorders>
            <w:shd w:val="clear" w:color="auto" w:fill="auto"/>
            <w:noWrap/>
            <w:vAlign w:val="bottom"/>
            <w:hideMark/>
          </w:tcPr>
          <w:p w14:paraId="70F4F8D6" w14:textId="77777777" w:rsidR="002C07C6" w:rsidRPr="002C07C6" w:rsidRDefault="002C07C6" w:rsidP="008B6059">
            <w:pPr>
              <w:ind w:firstLine="0"/>
              <w:jc w:val="right"/>
              <w:rPr>
                <w:color w:val="000000"/>
              </w:rPr>
            </w:pPr>
            <w:r w:rsidRPr="002C07C6">
              <w:rPr>
                <w:color w:val="000000"/>
              </w:rPr>
              <w:t>(0.0133)</w:t>
            </w:r>
          </w:p>
        </w:tc>
        <w:tc>
          <w:tcPr>
            <w:tcW w:w="1600" w:type="dxa"/>
            <w:tcBorders>
              <w:top w:val="nil"/>
              <w:left w:val="nil"/>
              <w:bottom w:val="nil"/>
              <w:right w:val="nil"/>
            </w:tcBorders>
            <w:shd w:val="clear" w:color="auto" w:fill="auto"/>
            <w:noWrap/>
            <w:vAlign w:val="bottom"/>
            <w:hideMark/>
          </w:tcPr>
          <w:p w14:paraId="00FB0F20" w14:textId="77777777" w:rsidR="002C07C6" w:rsidRPr="002C07C6" w:rsidRDefault="002C07C6" w:rsidP="008B6059">
            <w:pPr>
              <w:ind w:firstLine="0"/>
              <w:jc w:val="right"/>
              <w:rPr>
                <w:color w:val="000000"/>
              </w:rPr>
            </w:pPr>
            <w:r w:rsidRPr="002C07C6">
              <w:rPr>
                <w:color w:val="000000"/>
              </w:rPr>
              <w:t>(0.0133)</w:t>
            </w:r>
          </w:p>
        </w:tc>
      </w:tr>
      <w:tr w:rsidR="002C07C6" w:rsidRPr="002C07C6" w14:paraId="1B263B84" w14:textId="77777777" w:rsidTr="008B6059">
        <w:trPr>
          <w:trHeight w:val="300"/>
        </w:trPr>
        <w:tc>
          <w:tcPr>
            <w:tcW w:w="3003" w:type="dxa"/>
            <w:tcBorders>
              <w:top w:val="nil"/>
              <w:left w:val="nil"/>
              <w:bottom w:val="nil"/>
              <w:right w:val="nil"/>
            </w:tcBorders>
            <w:shd w:val="clear" w:color="auto" w:fill="auto"/>
            <w:noWrap/>
            <w:vAlign w:val="bottom"/>
            <w:hideMark/>
          </w:tcPr>
          <w:p w14:paraId="5818F0E5" w14:textId="77777777" w:rsidR="002C07C6" w:rsidRPr="002C07C6" w:rsidRDefault="002C07C6" w:rsidP="002C07C6">
            <w:pPr>
              <w:ind w:firstLine="0"/>
              <w:rPr>
                <w:color w:val="000000"/>
              </w:rPr>
            </w:pPr>
            <w:r w:rsidRPr="002C07C6">
              <w:rPr>
                <w:color w:val="000000"/>
              </w:rPr>
              <w:t>Fundraising Expenses</w:t>
            </w:r>
          </w:p>
        </w:tc>
        <w:tc>
          <w:tcPr>
            <w:tcW w:w="1497" w:type="dxa"/>
            <w:tcBorders>
              <w:top w:val="nil"/>
              <w:left w:val="nil"/>
              <w:bottom w:val="nil"/>
              <w:right w:val="nil"/>
            </w:tcBorders>
            <w:shd w:val="clear" w:color="auto" w:fill="auto"/>
            <w:noWrap/>
            <w:vAlign w:val="bottom"/>
            <w:hideMark/>
          </w:tcPr>
          <w:p w14:paraId="4FDE6A17" w14:textId="77777777" w:rsidR="002C07C6" w:rsidRPr="002C07C6" w:rsidRDefault="002C07C6" w:rsidP="008B6059">
            <w:pPr>
              <w:ind w:firstLine="0"/>
              <w:jc w:val="right"/>
              <w:rPr>
                <w:color w:val="000000"/>
              </w:rPr>
            </w:pPr>
          </w:p>
        </w:tc>
        <w:tc>
          <w:tcPr>
            <w:tcW w:w="1720" w:type="dxa"/>
            <w:tcBorders>
              <w:top w:val="nil"/>
              <w:left w:val="nil"/>
              <w:bottom w:val="nil"/>
              <w:right w:val="nil"/>
            </w:tcBorders>
            <w:shd w:val="clear" w:color="auto" w:fill="auto"/>
            <w:noWrap/>
            <w:vAlign w:val="bottom"/>
            <w:hideMark/>
          </w:tcPr>
          <w:p w14:paraId="2298D996" w14:textId="77777777" w:rsidR="002C07C6" w:rsidRPr="002C07C6" w:rsidRDefault="002C07C6" w:rsidP="008B6059">
            <w:pPr>
              <w:ind w:firstLine="0"/>
              <w:jc w:val="right"/>
              <w:rPr>
                <w:color w:val="000000"/>
              </w:rPr>
            </w:pPr>
            <w:r w:rsidRPr="002C07C6">
              <w:rPr>
                <w:color w:val="000000"/>
              </w:rPr>
              <w:t>-1.77E-05</w:t>
            </w:r>
          </w:p>
        </w:tc>
        <w:tc>
          <w:tcPr>
            <w:tcW w:w="1600" w:type="dxa"/>
            <w:tcBorders>
              <w:top w:val="nil"/>
              <w:left w:val="nil"/>
              <w:bottom w:val="nil"/>
              <w:right w:val="nil"/>
            </w:tcBorders>
            <w:shd w:val="clear" w:color="auto" w:fill="auto"/>
            <w:noWrap/>
            <w:vAlign w:val="bottom"/>
            <w:hideMark/>
          </w:tcPr>
          <w:p w14:paraId="5CE0122D" w14:textId="77777777" w:rsidR="002C07C6" w:rsidRPr="002C07C6" w:rsidRDefault="002C07C6" w:rsidP="008B6059">
            <w:pPr>
              <w:ind w:firstLine="0"/>
              <w:jc w:val="right"/>
              <w:rPr>
                <w:color w:val="000000"/>
              </w:rPr>
            </w:pPr>
            <w:r w:rsidRPr="002C07C6">
              <w:rPr>
                <w:color w:val="000000"/>
              </w:rPr>
              <w:t>-1.81E05</w:t>
            </w:r>
          </w:p>
        </w:tc>
      </w:tr>
      <w:tr w:rsidR="002C07C6" w:rsidRPr="002C07C6" w14:paraId="046931E6" w14:textId="77777777" w:rsidTr="008B6059">
        <w:trPr>
          <w:trHeight w:val="300"/>
        </w:trPr>
        <w:tc>
          <w:tcPr>
            <w:tcW w:w="3003" w:type="dxa"/>
            <w:tcBorders>
              <w:top w:val="nil"/>
              <w:left w:val="nil"/>
              <w:bottom w:val="nil"/>
              <w:right w:val="nil"/>
            </w:tcBorders>
            <w:shd w:val="clear" w:color="auto" w:fill="auto"/>
            <w:noWrap/>
            <w:vAlign w:val="bottom"/>
            <w:hideMark/>
          </w:tcPr>
          <w:p w14:paraId="24C5F166" w14:textId="77777777" w:rsidR="002C07C6" w:rsidRPr="002C07C6" w:rsidRDefault="002C07C6" w:rsidP="002C07C6">
            <w:pPr>
              <w:ind w:firstLine="0"/>
              <w:jc w:val="right"/>
              <w:rPr>
                <w:color w:val="000000"/>
              </w:rPr>
            </w:pPr>
          </w:p>
        </w:tc>
        <w:tc>
          <w:tcPr>
            <w:tcW w:w="1497" w:type="dxa"/>
            <w:tcBorders>
              <w:top w:val="nil"/>
              <w:left w:val="nil"/>
              <w:bottom w:val="nil"/>
              <w:right w:val="nil"/>
            </w:tcBorders>
            <w:shd w:val="clear" w:color="auto" w:fill="auto"/>
            <w:noWrap/>
            <w:vAlign w:val="bottom"/>
            <w:hideMark/>
          </w:tcPr>
          <w:p w14:paraId="58CAA39B" w14:textId="77777777" w:rsidR="002C07C6" w:rsidRPr="002C07C6" w:rsidRDefault="002C07C6" w:rsidP="008B6059">
            <w:pPr>
              <w:ind w:firstLine="0"/>
              <w:jc w:val="right"/>
            </w:pPr>
          </w:p>
        </w:tc>
        <w:tc>
          <w:tcPr>
            <w:tcW w:w="1720" w:type="dxa"/>
            <w:tcBorders>
              <w:top w:val="nil"/>
              <w:left w:val="nil"/>
              <w:bottom w:val="nil"/>
              <w:right w:val="nil"/>
            </w:tcBorders>
            <w:shd w:val="clear" w:color="auto" w:fill="auto"/>
            <w:noWrap/>
            <w:vAlign w:val="bottom"/>
            <w:hideMark/>
          </w:tcPr>
          <w:p w14:paraId="70F34B12" w14:textId="77777777" w:rsidR="002C07C6" w:rsidRPr="002C07C6" w:rsidRDefault="002C07C6" w:rsidP="008B6059">
            <w:pPr>
              <w:ind w:firstLine="0"/>
              <w:jc w:val="right"/>
              <w:rPr>
                <w:color w:val="000000"/>
              </w:rPr>
            </w:pPr>
            <w:r w:rsidRPr="002C07C6">
              <w:rPr>
                <w:color w:val="000000"/>
              </w:rPr>
              <w:t>(3.71E-05)</w:t>
            </w:r>
          </w:p>
        </w:tc>
        <w:tc>
          <w:tcPr>
            <w:tcW w:w="1600" w:type="dxa"/>
            <w:tcBorders>
              <w:top w:val="nil"/>
              <w:left w:val="nil"/>
              <w:bottom w:val="nil"/>
              <w:right w:val="nil"/>
            </w:tcBorders>
            <w:shd w:val="clear" w:color="auto" w:fill="auto"/>
            <w:noWrap/>
            <w:vAlign w:val="bottom"/>
            <w:hideMark/>
          </w:tcPr>
          <w:p w14:paraId="4093E29B" w14:textId="77777777" w:rsidR="002C07C6" w:rsidRPr="002C07C6" w:rsidRDefault="002C07C6" w:rsidP="008B6059">
            <w:pPr>
              <w:ind w:firstLine="0"/>
              <w:jc w:val="right"/>
              <w:rPr>
                <w:color w:val="000000"/>
              </w:rPr>
            </w:pPr>
            <w:r w:rsidRPr="002C07C6">
              <w:rPr>
                <w:color w:val="000000"/>
              </w:rPr>
              <w:t>(3.68E-05)</w:t>
            </w:r>
          </w:p>
        </w:tc>
      </w:tr>
      <w:tr w:rsidR="002C07C6" w:rsidRPr="002C07C6" w14:paraId="586CA781" w14:textId="77777777" w:rsidTr="008B6059">
        <w:trPr>
          <w:trHeight w:val="300"/>
        </w:trPr>
        <w:tc>
          <w:tcPr>
            <w:tcW w:w="3003" w:type="dxa"/>
            <w:tcBorders>
              <w:top w:val="nil"/>
              <w:left w:val="nil"/>
              <w:bottom w:val="nil"/>
              <w:right w:val="nil"/>
            </w:tcBorders>
            <w:shd w:val="clear" w:color="auto" w:fill="auto"/>
            <w:noWrap/>
            <w:vAlign w:val="bottom"/>
            <w:hideMark/>
          </w:tcPr>
          <w:p w14:paraId="52ABF302" w14:textId="77777777" w:rsidR="002C07C6" w:rsidRPr="002C07C6" w:rsidRDefault="002C07C6" w:rsidP="002C07C6">
            <w:pPr>
              <w:ind w:firstLine="0"/>
              <w:rPr>
                <w:color w:val="000000"/>
              </w:rPr>
            </w:pPr>
            <w:r w:rsidRPr="002C07C6">
              <w:rPr>
                <w:color w:val="000000"/>
              </w:rPr>
              <w:t>Philanthropy*Gamification</w:t>
            </w:r>
          </w:p>
        </w:tc>
        <w:tc>
          <w:tcPr>
            <w:tcW w:w="1497" w:type="dxa"/>
            <w:tcBorders>
              <w:top w:val="nil"/>
              <w:left w:val="nil"/>
              <w:bottom w:val="nil"/>
              <w:right w:val="nil"/>
            </w:tcBorders>
            <w:shd w:val="clear" w:color="auto" w:fill="auto"/>
            <w:noWrap/>
            <w:vAlign w:val="bottom"/>
            <w:hideMark/>
          </w:tcPr>
          <w:p w14:paraId="2996853F" w14:textId="77777777" w:rsidR="002C07C6" w:rsidRPr="002C07C6" w:rsidRDefault="002C07C6" w:rsidP="008B6059">
            <w:pPr>
              <w:ind w:firstLine="0"/>
              <w:jc w:val="right"/>
              <w:rPr>
                <w:color w:val="000000"/>
              </w:rPr>
            </w:pPr>
          </w:p>
        </w:tc>
        <w:tc>
          <w:tcPr>
            <w:tcW w:w="1720" w:type="dxa"/>
            <w:tcBorders>
              <w:top w:val="nil"/>
              <w:left w:val="nil"/>
              <w:bottom w:val="nil"/>
              <w:right w:val="nil"/>
            </w:tcBorders>
            <w:shd w:val="clear" w:color="auto" w:fill="auto"/>
            <w:noWrap/>
            <w:vAlign w:val="bottom"/>
            <w:hideMark/>
          </w:tcPr>
          <w:p w14:paraId="0E827C7C" w14:textId="77777777" w:rsidR="002C07C6" w:rsidRPr="002C07C6" w:rsidRDefault="002C07C6" w:rsidP="008B6059">
            <w:pPr>
              <w:ind w:firstLine="0"/>
              <w:jc w:val="right"/>
            </w:pPr>
          </w:p>
        </w:tc>
        <w:tc>
          <w:tcPr>
            <w:tcW w:w="1600" w:type="dxa"/>
            <w:tcBorders>
              <w:top w:val="nil"/>
              <w:left w:val="nil"/>
              <w:bottom w:val="nil"/>
              <w:right w:val="nil"/>
            </w:tcBorders>
            <w:shd w:val="clear" w:color="auto" w:fill="auto"/>
            <w:noWrap/>
            <w:vAlign w:val="bottom"/>
            <w:hideMark/>
          </w:tcPr>
          <w:p w14:paraId="3EEE562C" w14:textId="77777777" w:rsidR="002C07C6" w:rsidRPr="002C07C6" w:rsidRDefault="002C07C6" w:rsidP="008B6059">
            <w:pPr>
              <w:ind w:firstLine="0"/>
              <w:jc w:val="right"/>
              <w:rPr>
                <w:color w:val="000000"/>
              </w:rPr>
            </w:pPr>
            <w:r w:rsidRPr="002C07C6">
              <w:rPr>
                <w:color w:val="000000"/>
              </w:rPr>
              <w:t>45.02***</w:t>
            </w:r>
          </w:p>
        </w:tc>
      </w:tr>
      <w:tr w:rsidR="002C07C6" w:rsidRPr="002C07C6" w14:paraId="3B2F8C9A" w14:textId="77777777" w:rsidTr="008B6059">
        <w:trPr>
          <w:trHeight w:val="300"/>
        </w:trPr>
        <w:tc>
          <w:tcPr>
            <w:tcW w:w="3003" w:type="dxa"/>
            <w:tcBorders>
              <w:top w:val="nil"/>
              <w:left w:val="nil"/>
              <w:bottom w:val="nil"/>
              <w:right w:val="nil"/>
            </w:tcBorders>
            <w:shd w:val="clear" w:color="auto" w:fill="auto"/>
            <w:noWrap/>
            <w:vAlign w:val="bottom"/>
            <w:hideMark/>
          </w:tcPr>
          <w:p w14:paraId="5B62F1AE" w14:textId="77777777" w:rsidR="002C07C6" w:rsidRPr="002C07C6" w:rsidRDefault="002C07C6" w:rsidP="002C07C6">
            <w:pPr>
              <w:ind w:firstLine="0"/>
              <w:jc w:val="right"/>
              <w:rPr>
                <w:color w:val="000000"/>
              </w:rPr>
            </w:pPr>
          </w:p>
        </w:tc>
        <w:tc>
          <w:tcPr>
            <w:tcW w:w="1497" w:type="dxa"/>
            <w:tcBorders>
              <w:top w:val="nil"/>
              <w:left w:val="nil"/>
              <w:bottom w:val="nil"/>
              <w:right w:val="nil"/>
            </w:tcBorders>
            <w:shd w:val="clear" w:color="auto" w:fill="auto"/>
            <w:noWrap/>
            <w:vAlign w:val="bottom"/>
            <w:hideMark/>
          </w:tcPr>
          <w:p w14:paraId="7DDE76AD" w14:textId="77777777" w:rsidR="002C07C6" w:rsidRPr="002C07C6" w:rsidRDefault="002C07C6" w:rsidP="008B6059">
            <w:pPr>
              <w:ind w:firstLine="0"/>
              <w:jc w:val="right"/>
            </w:pPr>
          </w:p>
        </w:tc>
        <w:tc>
          <w:tcPr>
            <w:tcW w:w="1720" w:type="dxa"/>
            <w:tcBorders>
              <w:top w:val="nil"/>
              <w:left w:val="nil"/>
              <w:bottom w:val="nil"/>
              <w:right w:val="nil"/>
            </w:tcBorders>
            <w:shd w:val="clear" w:color="auto" w:fill="auto"/>
            <w:noWrap/>
            <w:vAlign w:val="bottom"/>
            <w:hideMark/>
          </w:tcPr>
          <w:p w14:paraId="5A7BBC36" w14:textId="77777777" w:rsidR="002C07C6" w:rsidRPr="002C07C6" w:rsidRDefault="002C07C6" w:rsidP="008B6059">
            <w:pPr>
              <w:ind w:firstLine="0"/>
              <w:jc w:val="right"/>
            </w:pPr>
          </w:p>
        </w:tc>
        <w:tc>
          <w:tcPr>
            <w:tcW w:w="1600" w:type="dxa"/>
            <w:tcBorders>
              <w:top w:val="nil"/>
              <w:left w:val="nil"/>
              <w:bottom w:val="nil"/>
              <w:right w:val="nil"/>
            </w:tcBorders>
            <w:shd w:val="clear" w:color="auto" w:fill="auto"/>
            <w:noWrap/>
            <w:vAlign w:val="bottom"/>
            <w:hideMark/>
          </w:tcPr>
          <w:p w14:paraId="57F05D13" w14:textId="77777777" w:rsidR="002C07C6" w:rsidRPr="002C07C6" w:rsidRDefault="002C07C6" w:rsidP="008B6059">
            <w:pPr>
              <w:ind w:firstLine="0"/>
              <w:jc w:val="right"/>
              <w:rPr>
                <w:color w:val="000000"/>
              </w:rPr>
            </w:pPr>
            <w:r w:rsidRPr="002C07C6">
              <w:rPr>
                <w:color w:val="000000"/>
              </w:rPr>
              <w:t>(15.44)</w:t>
            </w:r>
          </w:p>
        </w:tc>
      </w:tr>
      <w:tr w:rsidR="002C07C6" w:rsidRPr="002C07C6" w14:paraId="0235D9DB" w14:textId="77777777" w:rsidTr="008B6059">
        <w:trPr>
          <w:trHeight w:val="300"/>
        </w:trPr>
        <w:tc>
          <w:tcPr>
            <w:tcW w:w="3003" w:type="dxa"/>
            <w:tcBorders>
              <w:top w:val="nil"/>
              <w:left w:val="nil"/>
              <w:bottom w:val="nil"/>
              <w:right w:val="nil"/>
            </w:tcBorders>
            <w:shd w:val="clear" w:color="auto" w:fill="auto"/>
            <w:noWrap/>
            <w:vAlign w:val="bottom"/>
            <w:hideMark/>
          </w:tcPr>
          <w:p w14:paraId="2A31BC99" w14:textId="77777777" w:rsidR="002C07C6" w:rsidRPr="002C07C6" w:rsidRDefault="002C07C6" w:rsidP="002C07C6">
            <w:pPr>
              <w:ind w:firstLine="0"/>
              <w:rPr>
                <w:color w:val="000000"/>
              </w:rPr>
            </w:pPr>
            <w:r w:rsidRPr="002C07C6">
              <w:rPr>
                <w:color w:val="000000"/>
              </w:rPr>
              <w:t>Crowdfunding*Gamification</w:t>
            </w:r>
          </w:p>
        </w:tc>
        <w:tc>
          <w:tcPr>
            <w:tcW w:w="1497" w:type="dxa"/>
            <w:tcBorders>
              <w:top w:val="nil"/>
              <w:left w:val="nil"/>
              <w:bottom w:val="nil"/>
              <w:right w:val="nil"/>
            </w:tcBorders>
            <w:shd w:val="clear" w:color="auto" w:fill="auto"/>
            <w:noWrap/>
            <w:vAlign w:val="bottom"/>
            <w:hideMark/>
          </w:tcPr>
          <w:p w14:paraId="511D0C74" w14:textId="77777777" w:rsidR="002C07C6" w:rsidRPr="002C07C6" w:rsidRDefault="002C07C6" w:rsidP="008B6059">
            <w:pPr>
              <w:ind w:firstLine="0"/>
              <w:jc w:val="right"/>
              <w:rPr>
                <w:color w:val="000000"/>
              </w:rPr>
            </w:pPr>
          </w:p>
        </w:tc>
        <w:tc>
          <w:tcPr>
            <w:tcW w:w="1720" w:type="dxa"/>
            <w:tcBorders>
              <w:top w:val="nil"/>
              <w:left w:val="nil"/>
              <w:bottom w:val="nil"/>
              <w:right w:val="nil"/>
            </w:tcBorders>
            <w:shd w:val="clear" w:color="auto" w:fill="auto"/>
            <w:noWrap/>
            <w:vAlign w:val="bottom"/>
            <w:hideMark/>
          </w:tcPr>
          <w:p w14:paraId="627393EF" w14:textId="77777777" w:rsidR="002C07C6" w:rsidRPr="002C07C6" w:rsidRDefault="002C07C6" w:rsidP="008B6059">
            <w:pPr>
              <w:ind w:firstLine="0"/>
              <w:jc w:val="right"/>
            </w:pPr>
          </w:p>
        </w:tc>
        <w:tc>
          <w:tcPr>
            <w:tcW w:w="1600" w:type="dxa"/>
            <w:tcBorders>
              <w:top w:val="nil"/>
              <w:left w:val="nil"/>
              <w:bottom w:val="nil"/>
              <w:right w:val="nil"/>
            </w:tcBorders>
            <w:shd w:val="clear" w:color="auto" w:fill="auto"/>
            <w:noWrap/>
            <w:vAlign w:val="bottom"/>
            <w:hideMark/>
          </w:tcPr>
          <w:p w14:paraId="06FF10D8" w14:textId="77777777" w:rsidR="002C07C6" w:rsidRPr="002C07C6" w:rsidRDefault="002C07C6" w:rsidP="008B6059">
            <w:pPr>
              <w:ind w:firstLine="0"/>
              <w:jc w:val="right"/>
              <w:rPr>
                <w:color w:val="000000"/>
              </w:rPr>
            </w:pPr>
            <w:r w:rsidRPr="002C07C6">
              <w:rPr>
                <w:color w:val="000000"/>
              </w:rPr>
              <w:t>-28.02**</w:t>
            </w:r>
          </w:p>
        </w:tc>
      </w:tr>
      <w:tr w:rsidR="002C07C6" w:rsidRPr="002C07C6" w14:paraId="32F49C95" w14:textId="77777777" w:rsidTr="008B6059">
        <w:trPr>
          <w:trHeight w:val="300"/>
        </w:trPr>
        <w:tc>
          <w:tcPr>
            <w:tcW w:w="3003" w:type="dxa"/>
            <w:tcBorders>
              <w:top w:val="nil"/>
              <w:left w:val="nil"/>
              <w:bottom w:val="nil"/>
              <w:right w:val="nil"/>
            </w:tcBorders>
            <w:shd w:val="clear" w:color="auto" w:fill="auto"/>
            <w:noWrap/>
            <w:vAlign w:val="bottom"/>
            <w:hideMark/>
          </w:tcPr>
          <w:p w14:paraId="66F3608D" w14:textId="77777777" w:rsidR="002C07C6" w:rsidRPr="002C07C6" w:rsidRDefault="002C07C6" w:rsidP="002C07C6">
            <w:pPr>
              <w:ind w:firstLine="0"/>
              <w:jc w:val="right"/>
              <w:rPr>
                <w:color w:val="000000"/>
              </w:rPr>
            </w:pPr>
          </w:p>
        </w:tc>
        <w:tc>
          <w:tcPr>
            <w:tcW w:w="1497" w:type="dxa"/>
            <w:tcBorders>
              <w:top w:val="nil"/>
              <w:left w:val="nil"/>
              <w:bottom w:val="nil"/>
              <w:right w:val="nil"/>
            </w:tcBorders>
            <w:shd w:val="clear" w:color="auto" w:fill="auto"/>
            <w:noWrap/>
            <w:vAlign w:val="bottom"/>
            <w:hideMark/>
          </w:tcPr>
          <w:p w14:paraId="21CBF1B2" w14:textId="77777777" w:rsidR="002C07C6" w:rsidRPr="002C07C6" w:rsidRDefault="002C07C6" w:rsidP="008B6059">
            <w:pPr>
              <w:ind w:firstLine="0"/>
              <w:jc w:val="right"/>
            </w:pPr>
          </w:p>
        </w:tc>
        <w:tc>
          <w:tcPr>
            <w:tcW w:w="1720" w:type="dxa"/>
            <w:tcBorders>
              <w:top w:val="nil"/>
              <w:left w:val="nil"/>
              <w:bottom w:val="nil"/>
              <w:right w:val="nil"/>
            </w:tcBorders>
            <w:shd w:val="clear" w:color="auto" w:fill="auto"/>
            <w:noWrap/>
            <w:vAlign w:val="bottom"/>
            <w:hideMark/>
          </w:tcPr>
          <w:p w14:paraId="2803F66F" w14:textId="77777777" w:rsidR="002C07C6" w:rsidRPr="002C07C6" w:rsidRDefault="002C07C6" w:rsidP="008B6059">
            <w:pPr>
              <w:ind w:firstLine="0"/>
              <w:jc w:val="right"/>
            </w:pPr>
          </w:p>
        </w:tc>
        <w:tc>
          <w:tcPr>
            <w:tcW w:w="1600" w:type="dxa"/>
            <w:tcBorders>
              <w:top w:val="nil"/>
              <w:left w:val="nil"/>
              <w:bottom w:val="nil"/>
              <w:right w:val="nil"/>
            </w:tcBorders>
            <w:shd w:val="clear" w:color="auto" w:fill="auto"/>
            <w:noWrap/>
            <w:vAlign w:val="bottom"/>
            <w:hideMark/>
          </w:tcPr>
          <w:p w14:paraId="3B11BFB7" w14:textId="77777777" w:rsidR="002C07C6" w:rsidRPr="002C07C6" w:rsidRDefault="002C07C6" w:rsidP="008B6059">
            <w:pPr>
              <w:ind w:firstLine="0"/>
              <w:jc w:val="right"/>
              <w:rPr>
                <w:color w:val="000000"/>
              </w:rPr>
            </w:pPr>
            <w:r w:rsidRPr="002C07C6">
              <w:rPr>
                <w:color w:val="000000"/>
              </w:rPr>
              <w:t>(11.57)</w:t>
            </w:r>
          </w:p>
        </w:tc>
      </w:tr>
      <w:tr w:rsidR="002C07C6" w:rsidRPr="002C07C6" w14:paraId="784EE9B6" w14:textId="77777777" w:rsidTr="008B6059">
        <w:trPr>
          <w:trHeight w:val="300"/>
        </w:trPr>
        <w:tc>
          <w:tcPr>
            <w:tcW w:w="3003" w:type="dxa"/>
            <w:tcBorders>
              <w:top w:val="nil"/>
              <w:left w:val="nil"/>
              <w:bottom w:val="nil"/>
              <w:right w:val="nil"/>
            </w:tcBorders>
            <w:shd w:val="clear" w:color="auto" w:fill="auto"/>
            <w:noWrap/>
            <w:vAlign w:val="bottom"/>
            <w:hideMark/>
          </w:tcPr>
          <w:p w14:paraId="6D27D672" w14:textId="77777777" w:rsidR="002C07C6" w:rsidRPr="002C07C6" w:rsidRDefault="002C07C6" w:rsidP="002C07C6">
            <w:pPr>
              <w:ind w:firstLine="0"/>
              <w:rPr>
                <w:color w:val="000000"/>
              </w:rPr>
            </w:pPr>
            <w:r w:rsidRPr="002C07C6">
              <w:rPr>
                <w:color w:val="000000"/>
              </w:rPr>
              <w:t>Crowdfunding*Philanthropy</w:t>
            </w:r>
          </w:p>
        </w:tc>
        <w:tc>
          <w:tcPr>
            <w:tcW w:w="1497" w:type="dxa"/>
            <w:tcBorders>
              <w:top w:val="nil"/>
              <w:left w:val="nil"/>
              <w:bottom w:val="nil"/>
              <w:right w:val="nil"/>
            </w:tcBorders>
            <w:shd w:val="clear" w:color="auto" w:fill="auto"/>
            <w:noWrap/>
            <w:vAlign w:val="bottom"/>
            <w:hideMark/>
          </w:tcPr>
          <w:p w14:paraId="2C5AB6D8" w14:textId="77777777" w:rsidR="002C07C6" w:rsidRPr="002C07C6" w:rsidRDefault="002C07C6" w:rsidP="008B6059">
            <w:pPr>
              <w:ind w:firstLine="0"/>
              <w:jc w:val="right"/>
              <w:rPr>
                <w:color w:val="000000"/>
              </w:rPr>
            </w:pPr>
          </w:p>
        </w:tc>
        <w:tc>
          <w:tcPr>
            <w:tcW w:w="1720" w:type="dxa"/>
            <w:tcBorders>
              <w:top w:val="nil"/>
              <w:left w:val="nil"/>
              <w:bottom w:val="nil"/>
              <w:right w:val="nil"/>
            </w:tcBorders>
            <w:shd w:val="clear" w:color="auto" w:fill="auto"/>
            <w:noWrap/>
            <w:vAlign w:val="bottom"/>
            <w:hideMark/>
          </w:tcPr>
          <w:p w14:paraId="2F2557CF" w14:textId="77777777" w:rsidR="002C07C6" w:rsidRPr="002C07C6" w:rsidRDefault="002C07C6" w:rsidP="008B6059">
            <w:pPr>
              <w:ind w:firstLine="0"/>
              <w:jc w:val="right"/>
            </w:pPr>
          </w:p>
        </w:tc>
        <w:tc>
          <w:tcPr>
            <w:tcW w:w="1600" w:type="dxa"/>
            <w:tcBorders>
              <w:top w:val="nil"/>
              <w:left w:val="nil"/>
              <w:bottom w:val="nil"/>
              <w:right w:val="nil"/>
            </w:tcBorders>
            <w:shd w:val="clear" w:color="auto" w:fill="auto"/>
            <w:noWrap/>
            <w:vAlign w:val="bottom"/>
            <w:hideMark/>
          </w:tcPr>
          <w:p w14:paraId="46A663C9" w14:textId="77777777" w:rsidR="002C07C6" w:rsidRPr="002C07C6" w:rsidRDefault="002C07C6" w:rsidP="008B6059">
            <w:pPr>
              <w:ind w:firstLine="0"/>
              <w:jc w:val="right"/>
              <w:rPr>
                <w:color w:val="000000"/>
              </w:rPr>
            </w:pPr>
            <w:r w:rsidRPr="002C07C6">
              <w:rPr>
                <w:color w:val="000000"/>
              </w:rPr>
              <w:t>-27.96**</w:t>
            </w:r>
          </w:p>
        </w:tc>
      </w:tr>
      <w:tr w:rsidR="002C07C6" w:rsidRPr="002C07C6" w14:paraId="695C30CF" w14:textId="77777777" w:rsidTr="008B6059">
        <w:trPr>
          <w:trHeight w:val="300"/>
        </w:trPr>
        <w:tc>
          <w:tcPr>
            <w:tcW w:w="3003" w:type="dxa"/>
            <w:tcBorders>
              <w:top w:val="nil"/>
              <w:left w:val="nil"/>
              <w:bottom w:val="nil"/>
              <w:right w:val="nil"/>
            </w:tcBorders>
            <w:shd w:val="clear" w:color="auto" w:fill="auto"/>
            <w:noWrap/>
            <w:vAlign w:val="bottom"/>
            <w:hideMark/>
          </w:tcPr>
          <w:p w14:paraId="0668E734" w14:textId="77777777" w:rsidR="002C07C6" w:rsidRPr="002C07C6" w:rsidRDefault="002C07C6" w:rsidP="002C07C6">
            <w:pPr>
              <w:ind w:firstLine="0"/>
              <w:jc w:val="right"/>
              <w:rPr>
                <w:color w:val="000000"/>
              </w:rPr>
            </w:pPr>
          </w:p>
        </w:tc>
        <w:tc>
          <w:tcPr>
            <w:tcW w:w="1497" w:type="dxa"/>
            <w:tcBorders>
              <w:top w:val="nil"/>
              <w:left w:val="nil"/>
              <w:bottom w:val="nil"/>
              <w:right w:val="nil"/>
            </w:tcBorders>
            <w:shd w:val="clear" w:color="auto" w:fill="auto"/>
            <w:noWrap/>
            <w:vAlign w:val="bottom"/>
            <w:hideMark/>
          </w:tcPr>
          <w:p w14:paraId="017A6194" w14:textId="77777777" w:rsidR="002C07C6" w:rsidRPr="002C07C6" w:rsidRDefault="002C07C6" w:rsidP="008B6059">
            <w:pPr>
              <w:ind w:firstLine="0"/>
              <w:jc w:val="right"/>
            </w:pPr>
          </w:p>
        </w:tc>
        <w:tc>
          <w:tcPr>
            <w:tcW w:w="1720" w:type="dxa"/>
            <w:tcBorders>
              <w:top w:val="nil"/>
              <w:left w:val="nil"/>
              <w:bottom w:val="nil"/>
              <w:right w:val="nil"/>
            </w:tcBorders>
            <w:shd w:val="clear" w:color="auto" w:fill="auto"/>
            <w:noWrap/>
            <w:vAlign w:val="bottom"/>
            <w:hideMark/>
          </w:tcPr>
          <w:p w14:paraId="4EFE1A45" w14:textId="77777777" w:rsidR="002C07C6" w:rsidRPr="002C07C6" w:rsidRDefault="002C07C6" w:rsidP="008B6059">
            <w:pPr>
              <w:ind w:firstLine="0"/>
              <w:jc w:val="right"/>
            </w:pPr>
          </w:p>
        </w:tc>
        <w:tc>
          <w:tcPr>
            <w:tcW w:w="1600" w:type="dxa"/>
            <w:tcBorders>
              <w:top w:val="nil"/>
              <w:left w:val="nil"/>
              <w:bottom w:val="nil"/>
              <w:right w:val="nil"/>
            </w:tcBorders>
            <w:shd w:val="clear" w:color="auto" w:fill="auto"/>
            <w:noWrap/>
            <w:vAlign w:val="bottom"/>
            <w:hideMark/>
          </w:tcPr>
          <w:p w14:paraId="0542A90E" w14:textId="77777777" w:rsidR="002C07C6" w:rsidRPr="002C07C6" w:rsidRDefault="002C07C6" w:rsidP="008B6059">
            <w:pPr>
              <w:ind w:firstLine="0"/>
              <w:jc w:val="right"/>
              <w:rPr>
                <w:color w:val="000000"/>
              </w:rPr>
            </w:pPr>
            <w:r w:rsidRPr="002C07C6">
              <w:rPr>
                <w:color w:val="000000"/>
              </w:rPr>
              <w:t>(12.59)</w:t>
            </w:r>
          </w:p>
        </w:tc>
      </w:tr>
      <w:tr w:rsidR="002C07C6" w:rsidRPr="002C07C6" w14:paraId="07FCFA42" w14:textId="77777777" w:rsidTr="008B6059">
        <w:trPr>
          <w:trHeight w:val="300"/>
        </w:trPr>
        <w:tc>
          <w:tcPr>
            <w:tcW w:w="3003" w:type="dxa"/>
            <w:tcBorders>
              <w:top w:val="nil"/>
              <w:left w:val="nil"/>
              <w:bottom w:val="nil"/>
              <w:right w:val="nil"/>
            </w:tcBorders>
            <w:shd w:val="clear" w:color="auto" w:fill="auto"/>
            <w:noWrap/>
            <w:vAlign w:val="bottom"/>
            <w:hideMark/>
          </w:tcPr>
          <w:p w14:paraId="10C97448" w14:textId="77777777" w:rsidR="002C07C6" w:rsidRPr="002C07C6" w:rsidRDefault="002C07C6" w:rsidP="002C07C6">
            <w:pPr>
              <w:ind w:firstLine="0"/>
              <w:rPr>
                <w:color w:val="000000"/>
              </w:rPr>
            </w:pPr>
            <w:r w:rsidRPr="002C07C6">
              <w:rPr>
                <w:color w:val="000000"/>
              </w:rPr>
              <w:t>Constant</w:t>
            </w:r>
          </w:p>
        </w:tc>
        <w:tc>
          <w:tcPr>
            <w:tcW w:w="1497" w:type="dxa"/>
            <w:tcBorders>
              <w:top w:val="nil"/>
              <w:left w:val="nil"/>
              <w:bottom w:val="nil"/>
              <w:right w:val="nil"/>
            </w:tcBorders>
            <w:shd w:val="clear" w:color="auto" w:fill="auto"/>
            <w:noWrap/>
            <w:vAlign w:val="bottom"/>
            <w:hideMark/>
          </w:tcPr>
          <w:p w14:paraId="1B7EA408" w14:textId="77777777" w:rsidR="002C07C6" w:rsidRPr="002C07C6" w:rsidRDefault="002C07C6" w:rsidP="008B6059">
            <w:pPr>
              <w:ind w:firstLine="0"/>
              <w:jc w:val="right"/>
              <w:rPr>
                <w:color w:val="000000"/>
              </w:rPr>
            </w:pPr>
            <w:r w:rsidRPr="002C07C6">
              <w:rPr>
                <w:color w:val="000000"/>
              </w:rPr>
              <w:t>825.2***</w:t>
            </w:r>
          </w:p>
        </w:tc>
        <w:tc>
          <w:tcPr>
            <w:tcW w:w="1720" w:type="dxa"/>
            <w:tcBorders>
              <w:top w:val="nil"/>
              <w:left w:val="nil"/>
              <w:bottom w:val="nil"/>
              <w:right w:val="nil"/>
            </w:tcBorders>
            <w:shd w:val="clear" w:color="auto" w:fill="auto"/>
            <w:noWrap/>
            <w:vAlign w:val="bottom"/>
            <w:hideMark/>
          </w:tcPr>
          <w:p w14:paraId="64679162" w14:textId="77777777" w:rsidR="002C07C6" w:rsidRPr="002C07C6" w:rsidRDefault="002C07C6" w:rsidP="008B6059">
            <w:pPr>
              <w:ind w:firstLine="0"/>
              <w:jc w:val="right"/>
              <w:rPr>
                <w:color w:val="000000"/>
              </w:rPr>
            </w:pPr>
            <w:r w:rsidRPr="002C07C6">
              <w:rPr>
                <w:color w:val="000000"/>
              </w:rPr>
              <w:t>839.2***</w:t>
            </w:r>
          </w:p>
        </w:tc>
        <w:tc>
          <w:tcPr>
            <w:tcW w:w="1600" w:type="dxa"/>
            <w:tcBorders>
              <w:top w:val="nil"/>
              <w:left w:val="nil"/>
              <w:bottom w:val="nil"/>
              <w:right w:val="nil"/>
            </w:tcBorders>
            <w:shd w:val="clear" w:color="auto" w:fill="auto"/>
            <w:noWrap/>
            <w:vAlign w:val="bottom"/>
            <w:hideMark/>
          </w:tcPr>
          <w:p w14:paraId="74414B91" w14:textId="77777777" w:rsidR="002C07C6" w:rsidRPr="002C07C6" w:rsidRDefault="002C07C6" w:rsidP="008B6059">
            <w:pPr>
              <w:ind w:firstLine="0"/>
              <w:jc w:val="right"/>
              <w:rPr>
                <w:color w:val="000000"/>
              </w:rPr>
            </w:pPr>
            <w:r w:rsidRPr="002C07C6">
              <w:rPr>
                <w:color w:val="000000"/>
              </w:rPr>
              <w:t>791.6***</w:t>
            </w:r>
          </w:p>
        </w:tc>
      </w:tr>
      <w:tr w:rsidR="002C07C6" w:rsidRPr="002C07C6" w14:paraId="6BFDD4D6" w14:textId="77777777" w:rsidTr="008B6059">
        <w:trPr>
          <w:trHeight w:val="300"/>
        </w:trPr>
        <w:tc>
          <w:tcPr>
            <w:tcW w:w="3003" w:type="dxa"/>
            <w:tcBorders>
              <w:top w:val="nil"/>
              <w:left w:val="nil"/>
              <w:bottom w:val="nil"/>
              <w:right w:val="nil"/>
            </w:tcBorders>
            <w:shd w:val="clear" w:color="auto" w:fill="auto"/>
            <w:noWrap/>
            <w:vAlign w:val="bottom"/>
            <w:hideMark/>
          </w:tcPr>
          <w:p w14:paraId="0F195DC4" w14:textId="77777777" w:rsidR="002C07C6" w:rsidRPr="002C07C6" w:rsidRDefault="002C07C6" w:rsidP="002C07C6">
            <w:pPr>
              <w:ind w:firstLine="0"/>
              <w:jc w:val="right"/>
              <w:rPr>
                <w:color w:val="000000"/>
              </w:rPr>
            </w:pPr>
          </w:p>
        </w:tc>
        <w:tc>
          <w:tcPr>
            <w:tcW w:w="1497" w:type="dxa"/>
            <w:tcBorders>
              <w:top w:val="nil"/>
              <w:left w:val="nil"/>
              <w:bottom w:val="nil"/>
              <w:right w:val="nil"/>
            </w:tcBorders>
            <w:shd w:val="clear" w:color="auto" w:fill="auto"/>
            <w:noWrap/>
            <w:vAlign w:val="bottom"/>
            <w:hideMark/>
          </w:tcPr>
          <w:p w14:paraId="5B2EECFC" w14:textId="77777777" w:rsidR="002C07C6" w:rsidRPr="002C07C6" w:rsidRDefault="002C07C6" w:rsidP="008B6059">
            <w:pPr>
              <w:ind w:firstLine="0"/>
              <w:jc w:val="right"/>
              <w:rPr>
                <w:color w:val="000000"/>
              </w:rPr>
            </w:pPr>
            <w:r w:rsidRPr="002C07C6">
              <w:rPr>
                <w:color w:val="000000"/>
              </w:rPr>
              <w:t>(99.43)</w:t>
            </w:r>
          </w:p>
        </w:tc>
        <w:tc>
          <w:tcPr>
            <w:tcW w:w="1720" w:type="dxa"/>
            <w:tcBorders>
              <w:top w:val="nil"/>
              <w:left w:val="nil"/>
              <w:bottom w:val="nil"/>
              <w:right w:val="nil"/>
            </w:tcBorders>
            <w:shd w:val="clear" w:color="auto" w:fill="auto"/>
            <w:noWrap/>
            <w:vAlign w:val="bottom"/>
            <w:hideMark/>
          </w:tcPr>
          <w:p w14:paraId="32467602" w14:textId="77777777" w:rsidR="002C07C6" w:rsidRPr="002C07C6" w:rsidRDefault="002C07C6" w:rsidP="008B6059">
            <w:pPr>
              <w:ind w:firstLine="0"/>
              <w:jc w:val="right"/>
              <w:rPr>
                <w:color w:val="000000"/>
              </w:rPr>
            </w:pPr>
            <w:r w:rsidRPr="002C07C6">
              <w:rPr>
                <w:color w:val="000000"/>
              </w:rPr>
              <w:t>(103.90)</w:t>
            </w:r>
          </w:p>
        </w:tc>
        <w:tc>
          <w:tcPr>
            <w:tcW w:w="1600" w:type="dxa"/>
            <w:tcBorders>
              <w:top w:val="nil"/>
              <w:left w:val="nil"/>
              <w:bottom w:val="nil"/>
              <w:right w:val="nil"/>
            </w:tcBorders>
            <w:shd w:val="clear" w:color="auto" w:fill="auto"/>
            <w:noWrap/>
            <w:vAlign w:val="bottom"/>
            <w:hideMark/>
          </w:tcPr>
          <w:p w14:paraId="542A0B3C" w14:textId="77777777" w:rsidR="002C07C6" w:rsidRPr="002C07C6" w:rsidRDefault="002C07C6" w:rsidP="008B6059">
            <w:pPr>
              <w:ind w:firstLine="0"/>
              <w:jc w:val="right"/>
              <w:rPr>
                <w:color w:val="000000"/>
              </w:rPr>
            </w:pPr>
            <w:r w:rsidRPr="002C07C6">
              <w:rPr>
                <w:color w:val="000000"/>
              </w:rPr>
              <w:t>(105.00)</w:t>
            </w:r>
          </w:p>
        </w:tc>
      </w:tr>
      <w:tr w:rsidR="002C07C6" w:rsidRPr="002C07C6" w14:paraId="43C7B8A2" w14:textId="77777777" w:rsidTr="008B6059">
        <w:trPr>
          <w:trHeight w:val="315"/>
        </w:trPr>
        <w:tc>
          <w:tcPr>
            <w:tcW w:w="3003" w:type="dxa"/>
            <w:tcBorders>
              <w:top w:val="nil"/>
              <w:left w:val="nil"/>
              <w:bottom w:val="nil"/>
              <w:right w:val="nil"/>
            </w:tcBorders>
            <w:shd w:val="clear" w:color="auto" w:fill="auto"/>
            <w:vAlign w:val="center"/>
            <w:hideMark/>
          </w:tcPr>
          <w:p w14:paraId="03DAFFFF" w14:textId="77777777" w:rsidR="002C07C6" w:rsidRPr="002C07C6" w:rsidRDefault="002C07C6" w:rsidP="002C07C6">
            <w:pPr>
              <w:ind w:firstLine="0"/>
              <w:rPr>
                <w:color w:val="000000"/>
              </w:rPr>
            </w:pPr>
            <w:r w:rsidRPr="002C07C6">
              <w:rPr>
                <w:color w:val="000000"/>
              </w:rPr>
              <w:t>Observations</w:t>
            </w:r>
          </w:p>
        </w:tc>
        <w:tc>
          <w:tcPr>
            <w:tcW w:w="1497" w:type="dxa"/>
            <w:tcBorders>
              <w:top w:val="nil"/>
              <w:left w:val="nil"/>
              <w:bottom w:val="nil"/>
              <w:right w:val="nil"/>
            </w:tcBorders>
            <w:shd w:val="clear" w:color="auto" w:fill="auto"/>
            <w:vAlign w:val="center"/>
            <w:hideMark/>
          </w:tcPr>
          <w:p w14:paraId="039B7CA2" w14:textId="77777777" w:rsidR="002C07C6" w:rsidRPr="002C07C6" w:rsidRDefault="002C07C6" w:rsidP="008B6059">
            <w:pPr>
              <w:ind w:firstLine="0"/>
              <w:jc w:val="right"/>
              <w:rPr>
                <w:color w:val="000000"/>
              </w:rPr>
            </w:pPr>
            <w:r w:rsidRPr="002C07C6">
              <w:rPr>
                <w:color w:val="000000"/>
              </w:rPr>
              <w:t>485</w:t>
            </w:r>
          </w:p>
        </w:tc>
        <w:tc>
          <w:tcPr>
            <w:tcW w:w="1720" w:type="dxa"/>
            <w:tcBorders>
              <w:top w:val="nil"/>
              <w:left w:val="nil"/>
              <w:bottom w:val="nil"/>
              <w:right w:val="nil"/>
            </w:tcBorders>
            <w:shd w:val="clear" w:color="auto" w:fill="auto"/>
            <w:vAlign w:val="center"/>
            <w:hideMark/>
          </w:tcPr>
          <w:p w14:paraId="7F08FFA8" w14:textId="77777777" w:rsidR="002C07C6" w:rsidRPr="002C07C6" w:rsidRDefault="002C07C6" w:rsidP="008B6059">
            <w:pPr>
              <w:ind w:firstLine="0"/>
              <w:jc w:val="right"/>
              <w:rPr>
                <w:color w:val="000000"/>
              </w:rPr>
            </w:pPr>
            <w:r w:rsidRPr="002C07C6">
              <w:rPr>
                <w:color w:val="000000"/>
              </w:rPr>
              <w:t>466</w:t>
            </w:r>
          </w:p>
        </w:tc>
        <w:tc>
          <w:tcPr>
            <w:tcW w:w="1600" w:type="dxa"/>
            <w:tcBorders>
              <w:top w:val="nil"/>
              <w:left w:val="nil"/>
              <w:bottom w:val="nil"/>
              <w:right w:val="nil"/>
            </w:tcBorders>
            <w:shd w:val="clear" w:color="auto" w:fill="auto"/>
            <w:vAlign w:val="center"/>
            <w:hideMark/>
          </w:tcPr>
          <w:p w14:paraId="1744C1B3" w14:textId="77777777" w:rsidR="002C07C6" w:rsidRPr="002C07C6" w:rsidRDefault="002C07C6" w:rsidP="008B6059">
            <w:pPr>
              <w:ind w:firstLine="0"/>
              <w:jc w:val="right"/>
              <w:rPr>
                <w:color w:val="000000"/>
              </w:rPr>
            </w:pPr>
            <w:r w:rsidRPr="002C07C6">
              <w:rPr>
                <w:color w:val="000000"/>
              </w:rPr>
              <w:t>466</w:t>
            </w:r>
          </w:p>
        </w:tc>
      </w:tr>
      <w:tr w:rsidR="002C07C6" w:rsidRPr="002C07C6" w14:paraId="5C9A82C9" w14:textId="77777777" w:rsidTr="008B6059">
        <w:trPr>
          <w:trHeight w:val="330"/>
        </w:trPr>
        <w:tc>
          <w:tcPr>
            <w:tcW w:w="3003" w:type="dxa"/>
            <w:tcBorders>
              <w:top w:val="nil"/>
              <w:left w:val="nil"/>
              <w:bottom w:val="single" w:sz="8" w:space="0" w:color="000000"/>
              <w:right w:val="nil"/>
            </w:tcBorders>
            <w:shd w:val="clear" w:color="auto" w:fill="auto"/>
            <w:vAlign w:val="center"/>
            <w:hideMark/>
          </w:tcPr>
          <w:p w14:paraId="6002F910" w14:textId="77777777" w:rsidR="002C07C6" w:rsidRPr="002C07C6" w:rsidRDefault="002C07C6" w:rsidP="002C07C6">
            <w:pPr>
              <w:ind w:firstLine="0"/>
              <w:rPr>
                <w:color w:val="000000"/>
              </w:rPr>
            </w:pPr>
            <w:r w:rsidRPr="002C07C6">
              <w:rPr>
                <w:color w:val="000000"/>
              </w:rPr>
              <w:t>R-squared</w:t>
            </w:r>
          </w:p>
        </w:tc>
        <w:tc>
          <w:tcPr>
            <w:tcW w:w="1497" w:type="dxa"/>
            <w:tcBorders>
              <w:top w:val="nil"/>
              <w:left w:val="nil"/>
              <w:bottom w:val="single" w:sz="8" w:space="0" w:color="000000"/>
              <w:right w:val="nil"/>
            </w:tcBorders>
            <w:shd w:val="clear" w:color="auto" w:fill="auto"/>
            <w:vAlign w:val="center"/>
            <w:hideMark/>
          </w:tcPr>
          <w:p w14:paraId="6D19CF53" w14:textId="77777777" w:rsidR="002C07C6" w:rsidRPr="002C07C6" w:rsidRDefault="002C07C6" w:rsidP="008B6059">
            <w:pPr>
              <w:ind w:firstLine="0"/>
              <w:jc w:val="right"/>
              <w:rPr>
                <w:color w:val="000000"/>
              </w:rPr>
            </w:pPr>
            <w:r w:rsidRPr="002C07C6">
              <w:rPr>
                <w:color w:val="000000"/>
              </w:rPr>
              <w:t>0.199</w:t>
            </w:r>
          </w:p>
        </w:tc>
        <w:tc>
          <w:tcPr>
            <w:tcW w:w="1720" w:type="dxa"/>
            <w:tcBorders>
              <w:top w:val="nil"/>
              <w:left w:val="nil"/>
              <w:bottom w:val="single" w:sz="8" w:space="0" w:color="000000"/>
              <w:right w:val="nil"/>
            </w:tcBorders>
            <w:shd w:val="clear" w:color="auto" w:fill="auto"/>
            <w:vAlign w:val="center"/>
            <w:hideMark/>
          </w:tcPr>
          <w:p w14:paraId="12338E4E" w14:textId="77777777" w:rsidR="002C07C6" w:rsidRPr="002C07C6" w:rsidRDefault="002C07C6" w:rsidP="008B6059">
            <w:pPr>
              <w:ind w:firstLine="0"/>
              <w:jc w:val="right"/>
              <w:rPr>
                <w:color w:val="000000"/>
              </w:rPr>
            </w:pPr>
            <w:r w:rsidRPr="002C07C6">
              <w:rPr>
                <w:color w:val="000000"/>
              </w:rPr>
              <w:t>0.209</w:t>
            </w:r>
          </w:p>
        </w:tc>
        <w:tc>
          <w:tcPr>
            <w:tcW w:w="1600" w:type="dxa"/>
            <w:tcBorders>
              <w:top w:val="nil"/>
              <w:left w:val="nil"/>
              <w:bottom w:val="single" w:sz="8" w:space="0" w:color="000000"/>
              <w:right w:val="nil"/>
            </w:tcBorders>
            <w:shd w:val="clear" w:color="auto" w:fill="auto"/>
            <w:vAlign w:val="center"/>
            <w:hideMark/>
          </w:tcPr>
          <w:p w14:paraId="5EE6F038" w14:textId="77777777" w:rsidR="002C07C6" w:rsidRPr="002C07C6" w:rsidRDefault="002C07C6" w:rsidP="008B6059">
            <w:pPr>
              <w:ind w:firstLine="0"/>
              <w:jc w:val="right"/>
              <w:rPr>
                <w:color w:val="000000"/>
              </w:rPr>
            </w:pPr>
            <w:r w:rsidRPr="002C07C6">
              <w:rPr>
                <w:color w:val="000000"/>
              </w:rPr>
              <w:t>0.225</w:t>
            </w:r>
          </w:p>
        </w:tc>
      </w:tr>
    </w:tbl>
    <w:tbl>
      <w:tblPr>
        <w:tblStyle w:val="a1"/>
        <w:tblW w:w="5276" w:type="dxa"/>
        <w:tblInd w:w="117" w:type="dxa"/>
        <w:tblLayout w:type="fixed"/>
        <w:tblLook w:val="0000" w:firstRow="0" w:lastRow="0" w:firstColumn="0" w:lastColumn="0" w:noHBand="0" w:noVBand="0"/>
      </w:tblPr>
      <w:tblGrid>
        <w:gridCol w:w="5276"/>
      </w:tblGrid>
      <w:tr w:rsidR="00165A52" w14:paraId="55DCA786" w14:textId="77777777">
        <w:trPr>
          <w:trHeight w:val="472"/>
        </w:trPr>
        <w:tc>
          <w:tcPr>
            <w:tcW w:w="5276" w:type="dxa"/>
          </w:tcPr>
          <w:p w14:paraId="00000139" w14:textId="77777777" w:rsidR="00165A52" w:rsidRDefault="00B02078">
            <w:pPr>
              <w:pBdr>
                <w:top w:val="nil"/>
                <w:left w:val="nil"/>
                <w:bottom w:val="nil"/>
                <w:right w:val="nil"/>
                <w:between w:val="nil"/>
              </w:pBdr>
              <w:spacing w:before="45"/>
              <w:ind w:left="1412"/>
              <w:rPr>
                <w:color w:val="000000"/>
              </w:rPr>
            </w:pPr>
            <w:r>
              <w:rPr>
                <w:color w:val="000000"/>
              </w:rPr>
              <w:t>Standard errors in parentheses</w:t>
            </w:r>
          </w:p>
        </w:tc>
      </w:tr>
      <w:tr w:rsidR="00165A52" w14:paraId="0D139759" w14:textId="77777777">
        <w:trPr>
          <w:trHeight w:val="252"/>
        </w:trPr>
        <w:tc>
          <w:tcPr>
            <w:tcW w:w="5276" w:type="dxa"/>
          </w:tcPr>
          <w:p w14:paraId="0000013A" w14:textId="77777777" w:rsidR="00165A52" w:rsidRDefault="00B02078">
            <w:pPr>
              <w:pBdr>
                <w:top w:val="nil"/>
                <w:left w:val="nil"/>
                <w:bottom w:val="nil"/>
                <w:right w:val="nil"/>
                <w:between w:val="nil"/>
              </w:pBdr>
              <w:spacing w:line="233" w:lineRule="auto"/>
              <w:ind w:left="1338"/>
              <w:rPr>
                <w:color w:val="000000"/>
              </w:rPr>
            </w:pPr>
            <w:r>
              <w:rPr>
                <w:color w:val="000000"/>
              </w:rPr>
              <w:t>*** p&lt;0.01, ** p&lt;0.05, * p&lt;0.1</w:t>
            </w:r>
          </w:p>
        </w:tc>
      </w:tr>
    </w:tbl>
    <w:p w14:paraId="000001A9" w14:textId="279D5129" w:rsidR="00165A52" w:rsidRDefault="00165A52" w:rsidP="000D2B22">
      <w:pPr>
        <w:ind w:firstLine="0"/>
      </w:pPr>
    </w:p>
    <w:sectPr w:rsidR="00165A52">
      <w:headerReference w:type="even" r:id="rId39"/>
      <w:footerReference w:type="even" r:id="rId40"/>
      <w:pgSz w:w="12240" w:h="15840"/>
      <w:pgMar w:top="1440" w:right="1440" w:bottom="1440" w:left="1440" w:header="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6275EA0" w16cex:dateUtc="2023-11-03T09:34:00Z"/>
  <w16cex:commentExtensible w16cex:durableId="17E57068" w16cex:dateUtc="2023-11-03T16:40:00Z"/>
  <w16cex:commentExtensible w16cex:durableId="13CBCDAA" w16cex:dateUtc="2023-11-03T09:36:00Z"/>
  <w16cex:commentExtensible w16cex:durableId="12A1A5BE" w16cex:dateUtc="2023-11-03T16:41:00Z"/>
  <w16cex:commentExtensible w16cex:durableId="18097EE2" w16cex:dateUtc="2023-11-03T09:46:00Z"/>
  <w16cex:commentExtensible w16cex:durableId="064411A7" w16cex:dateUtc="2023-11-06T21:33:00Z"/>
  <w16cex:commentExtensible w16cex:durableId="762AFADF" w16cex:dateUtc="2023-11-03T09: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F085C" w14:textId="77777777" w:rsidR="00834823" w:rsidRDefault="00834823">
      <w:r>
        <w:separator/>
      </w:r>
    </w:p>
  </w:endnote>
  <w:endnote w:type="continuationSeparator" w:id="0">
    <w:p w14:paraId="54CD1AF1" w14:textId="77777777" w:rsidR="00834823" w:rsidRDefault="00834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AD" w14:textId="77777777" w:rsidR="00493BCD" w:rsidRDefault="00493BCD">
    <w:pPr>
      <w:pBdr>
        <w:top w:val="nil"/>
        <w:left w:val="nil"/>
        <w:bottom w:val="nil"/>
        <w:right w:val="nil"/>
        <w:between w:val="nil"/>
      </w:pBdr>
      <w:ind w:left="160" w:firstLine="5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F6A2E" w14:textId="77777777" w:rsidR="00834823" w:rsidRDefault="00834823">
      <w:r>
        <w:separator/>
      </w:r>
    </w:p>
  </w:footnote>
  <w:footnote w:type="continuationSeparator" w:id="0">
    <w:p w14:paraId="1067DBD2" w14:textId="77777777" w:rsidR="00834823" w:rsidRDefault="00834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AB" w14:textId="77777777" w:rsidR="00493BCD" w:rsidRDefault="00493BCD">
    <w:pPr>
      <w:pBdr>
        <w:top w:val="nil"/>
        <w:left w:val="nil"/>
        <w:bottom w:val="nil"/>
        <w:right w:val="nil"/>
        <w:between w:val="nil"/>
      </w:pBdr>
      <w:ind w:left="160" w:firstLine="5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A52"/>
    <w:rsid w:val="000864A7"/>
    <w:rsid w:val="00086628"/>
    <w:rsid w:val="000B11FD"/>
    <w:rsid w:val="000C7D7A"/>
    <w:rsid w:val="000D2B22"/>
    <w:rsid w:val="000E59DE"/>
    <w:rsid w:val="00111050"/>
    <w:rsid w:val="00115072"/>
    <w:rsid w:val="00124A9D"/>
    <w:rsid w:val="00135368"/>
    <w:rsid w:val="00165A52"/>
    <w:rsid w:val="001E562F"/>
    <w:rsid w:val="0022421B"/>
    <w:rsid w:val="002921AE"/>
    <w:rsid w:val="00296558"/>
    <w:rsid w:val="002C07C6"/>
    <w:rsid w:val="002F3896"/>
    <w:rsid w:val="00312A60"/>
    <w:rsid w:val="003137F9"/>
    <w:rsid w:val="00366B76"/>
    <w:rsid w:val="003A2B80"/>
    <w:rsid w:val="00411306"/>
    <w:rsid w:val="00434452"/>
    <w:rsid w:val="00493BCD"/>
    <w:rsid w:val="004A7456"/>
    <w:rsid w:val="004D0A05"/>
    <w:rsid w:val="004E062B"/>
    <w:rsid w:val="00507304"/>
    <w:rsid w:val="005612A9"/>
    <w:rsid w:val="005A277D"/>
    <w:rsid w:val="005E3218"/>
    <w:rsid w:val="00601DB9"/>
    <w:rsid w:val="007C2794"/>
    <w:rsid w:val="00803DB1"/>
    <w:rsid w:val="00834823"/>
    <w:rsid w:val="008428A2"/>
    <w:rsid w:val="0084507D"/>
    <w:rsid w:val="00853895"/>
    <w:rsid w:val="008B6059"/>
    <w:rsid w:val="0092332F"/>
    <w:rsid w:val="00934DF1"/>
    <w:rsid w:val="00971830"/>
    <w:rsid w:val="009762B8"/>
    <w:rsid w:val="009E6967"/>
    <w:rsid w:val="00A82462"/>
    <w:rsid w:val="00A86F70"/>
    <w:rsid w:val="00A9246F"/>
    <w:rsid w:val="00AA2BCF"/>
    <w:rsid w:val="00AA6DEE"/>
    <w:rsid w:val="00AC71B7"/>
    <w:rsid w:val="00B02078"/>
    <w:rsid w:val="00BB75D9"/>
    <w:rsid w:val="00C006B3"/>
    <w:rsid w:val="00C21BB0"/>
    <w:rsid w:val="00C47916"/>
    <w:rsid w:val="00C537B9"/>
    <w:rsid w:val="00C56405"/>
    <w:rsid w:val="00C851C0"/>
    <w:rsid w:val="00CC4A85"/>
    <w:rsid w:val="00CF2BF6"/>
    <w:rsid w:val="00D02378"/>
    <w:rsid w:val="00D121D6"/>
    <w:rsid w:val="00D173D0"/>
    <w:rsid w:val="00D24F84"/>
    <w:rsid w:val="00D26092"/>
    <w:rsid w:val="00D612F1"/>
    <w:rsid w:val="00DF20FB"/>
    <w:rsid w:val="00F042C3"/>
    <w:rsid w:val="00F627E5"/>
    <w:rsid w:val="00F80F37"/>
    <w:rsid w:val="00FA43D2"/>
    <w:rsid w:val="00FB5BDB"/>
    <w:rsid w:val="00FC2109"/>
    <w:rsid w:val="00FD0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89F13"/>
  <w15:docId w15:val="{78D8480E-C8FA-4780-8003-039502D17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68D"/>
  </w:style>
  <w:style w:type="paragraph" w:styleId="Heading1">
    <w:name w:val="heading 1"/>
    <w:basedOn w:val="Normal"/>
    <w:link w:val="Heading1Char"/>
    <w:uiPriority w:val="9"/>
    <w:qFormat/>
    <w:pPr>
      <w:spacing w:before="10"/>
      <w:ind w:left="160"/>
      <w:outlineLvl w:val="0"/>
    </w:pPr>
    <w:rPr>
      <w:sz w:val="32"/>
      <w:szCs w:val="32"/>
    </w:rPr>
  </w:style>
  <w:style w:type="paragraph" w:styleId="Heading2">
    <w:name w:val="heading 2"/>
    <w:basedOn w:val="Normal"/>
    <w:uiPriority w:val="9"/>
    <w:unhideWhenUsed/>
    <w:qFormat/>
    <w:pPr>
      <w:spacing w:line="274" w:lineRule="exact"/>
      <w:ind w:left="160"/>
      <w:outlineLvl w:val="1"/>
    </w:pPr>
    <w:rPr>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BodyText">
    <w:name w:val="Body Text"/>
    <w:basedOn w:val="Normal"/>
    <w:uiPriority w:val="1"/>
    <w:qFormat/>
    <w:pPr>
      <w:ind w:left="16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C2BE4"/>
    <w:pPr>
      <w:tabs>
        <w:tab w:val="center" w:pos="4680"/>
        <w:tab w:val="right" w:pos="9360"/>
      </w:tabs>
    </w:pPr>
  </w:style>
  <w:style w:type="character" w:customStyle="1" w:styleId="HeaderChar">
    <w:name w:val="Header Char"/>
    <w:basedOn w:val="DefaultParagraphFont"/>
    <w:link w:val="Header"/>
    <w:uiPriority w:val="99"/>
    <w:rsid w:val="00EC2BE4"/>
    <w:rPr>
      <w:rFonts w:ascii="Times New Roman" w:eastAsia="Times New Roman" w:hAnsi="Times New Roman" w:cs="Times New Roman"/>
    </w:rPr>
  </w:style>
  <w:style w:type="paragraph" w:styleId="Footer">
    <w:name w:val="footer"/>
    <w:basedOn w:val="Normal"/>
    <w:link w:val="FooterChar"/>
    <w:uiPriority w:val="99"/>
    <w:unhideWhenUsed/>
    <w:rsid w:val="00EC2BE4"/>
    <w:pPr>
      <w:tabs>
        <w:tab w:val="center" w:pos="4680"/>
        <w:tab w:val="right" w:pos="9360"/>
      </w:tabs>
    </w:pPr>
  </w:style>
  <w:style w:type="character" w:customStyle="1" w:styleId="FooterChar">
    <w:name w:val="Footer Char"/>
    <w:basedOn w:val="DefaultParagraphFont"/>
    <w:link w:val="Footer"/>
    <w:uiPriority w:val="99"/>
    <w:rsid w:val="00EC2BE4"/>
    <w:rPr>
      <w:rFonts w:ascii="Times New Roman" w:eastAsia="Times New Roman" w:hAnsi="Times New Roman" w:cs="Times New Roman"/>
    </w:rPr>
  </w:style>
  <w:style w:type="paragraph" w:styleId="Revision">
    <w:name w:val="Revision"/>
    <w:hidden/>
    <w:uiPriority w:val="99"/>
    <w:semiHidden/>
    <w:rsid w:val="00B56760"/>
  </w:style>
  <w:style w:type="paragraph" w:styleId="NoSpacing">
    <w:name w:val="No Spacing"/>
    <w:uiPriority w:val="1"/>
    <w:qFormat/>
    <w:rsid w:val="003D2D4B"/>
  </w:style>
  <w:style w:type="character" w:styleId="Hyperlink">
    <w:name w:val="Hyperlink"/>
    <w:basedOn w:val="DefaultParagraphFont"/>
    <w:uiPriority w:val="99"/>
    <w:unhideWhenUsed/>
    <w:rsid w:val="00C52F92"/>
    <w:rPr>
      <w:color w:val="0000FF" w:themeColor="hyperlink"/>
      <w:u w:val="single"/>
    </w:rPr>
  </w:style>
  <w:style w:type="character" w:styleId="UnresolvedMention">
    <w:name w:val="Unresolved Mention"/>
    <w:basedOn w:val="DefaultParagraphFont"/>
    <w:uiPriority w:val="99"/>
    <w:semiHidden/>
    <w:unhideWhenUsed/>
    <w:rsid w:val="00C52F92"/>
    <w:rPr>
      <w:color w:val="605E5C"/>
      <w:shd w:val="clear" w:color="auto" w:fill="E1DFDD"/>
    </w:rPr>
  </w:style>
  <w:style w:type="paragraph" w:styleId="BalloonText">
    <w:name w:val="Balloon Text"/>
    <w:basedOn w:val="Normal"/>
    <w:link w:val="BalloonTextChar"/>
    <w:uiPriority w:val="99"/>
    <w:semiHidden/>
    <w:unhideWhenUsed/>
    <w:rsid w:val="008035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5C6"/>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D3B50"/>
    <w:rPr>
      <w:sz w:val="16"/>
      <w:szCs w:val="16"/>
    </w:rPr>
  </w:style>
  <w:style w:type="paragraph" w:styleId="CommentText">
    <w:name w:val="annotation text"/>
    <w:basedOn w:val="Normal"/>
    <w:link w:val="CommentTextChar"/>
    <w:uiPriority w:val="99"/>
    <w:unhideWhenUsed/>
    <w:rsid w:val="00FD3B50"/>
    <w:rPr>
      <w:sz w:val="20"/>
      <w:szCs w:val="20"/>
    </w:rPr>
  </w:style>
  <w:style w:type="character" w:customStyle="1" w:styleId="CommentTextChar">
    <w:name w:val="Comment Text Char"/>
    <w:basedOn w:val="DefaultParagraphFont"/>
    <w:link w:val="CommentText"/>
    <w:uiPriority w:val="99"/>
    <w:rsid w:val="00FD3B5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D3B50"/>
    <w:rPr>
      <w:b/>
      <w:bCs/>
    </w:rPr>
  </w:style>
  <w:style w:type="character" w:customStyle="1" w:styleId="CommentSubjectChar">
    <w:name w:val="Comment Subject Char"/>
    <w:basedOn w:val="CommentTextChar"/>
    <w:link w:val="CommentSubject"/>
    <w:uiPriority w:val="99"/>
    <w:semiHidden/>
    <w:rsid w:val="00FD3B50"/>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character" w:customStyle="1" w:styleId="TitleChar">
    <w:name w:val="Title Char"/>
    <w:basedOn w:val="DefaultParagraphFont"/>
    <w:link w:val="Title"/>
    <w:uiPriority w:val="10"/>
    <w:rsid w:val="00C006B3"/>
    <w:rPr>
      <w:b/>
      <w:sz w:val="72"/>
      <w:szCs w:val="72"/>
    </w:rPr>
  </w:style>
  <w:style w:type="character" w:customStyle="1" w:styleId="Heading1Char">
    <w:name w:val="Heading 1 Char"/>
    <w:basedOn w:val="DefaultParagraphFont"/>
    <w:link w:val="Heading1"/>
    <w:uiPriority w:val="9"/>
    <w:rsid w:val="00C006B3"/>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1468921">
      <w:bodyDiv w:val="1"/>
      <w:marLeft w:val="0"/>
      <w:marRight w:val="0"/>
      <w:marTop w:val="0"/>
      <w:marBottom w:val="0"/>
      <w:divBdr>
        <w:top w:val="none" w:sz="0" w:space="0" w:color="auto"/>
        <w:left w:val="none" w:sz="0" w:space="0" w:color="auto"/>
        <w:bottom w:val="none" w:sz="0" w:space="0" w:color="auto"/>
        <w:right w:val="none" w:sz="0" w:space="0" w:color="auto"/>
      </w:divBdr>
    </w:div>
    <w:div w:id="1853832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bfg.org" TargetMode="External"/><Relationship Id="rId34" Type="http://schemas.openxmlformats.org/officeDocument/2006/relationships/hyperlink" Target="https://www.youtube.com/watch?v=ehJNHSVz780" TargetMode="External"/><Relationship Id="rId42" Type="http://schemas.openxmlformats.org/officeDocument/2006/relationships/theme" Target="theme/theme1.xml"/><Relationship Id="rId7" Type="http://schemas.openxmlformats.org/officeDocument/2006/relationships/hyperlink" Target="mailto:jamie.levine.daniel@nyu.edu" TargetMode="External"/><Relationship Id="rId25" Type="http://schemas.openxmlformats.org/officeDocument/2006/relationships/hyperlink" Target="https://doi.org/10.1177/0095399703256162" TargetMode="External"/><Relationship Id="rId33" Type="http://schemas.openxmlformats.org/officeDocument/2006/relationships/hyperlink" Target="https://doi.org/10.1177/0146167206291006" TargetMode="External"/><Relationship Id="rId38" Type="http://schemas.openxmlformats.org/officeDocument/2006/relationships/image" Target="media/image3.png"/><Relationship Id="rId2" Type="http://schemas.openxmlformats.org/officeDocument/2006/relationships/styles" Target="styles.xml"/><Relationship Id="rId20" Type="http://schemas.openxmlformats.org/officeDocument/2006/relationships/image" Target="media/image13.png"/><Relationship Id="rId29" Type="http://schemas.openxmlformats.org/officeDocument/2006/relationships/image" Target="media/image2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hyperlink" Target="https://doi.org/10.20899/jpna.1.1.18-28" TargetMode="External"/><Relationship Id="rId32" Type="http://schemas.openxmlformats.org/officeDocument/2006/relationships/image" Target="media/image26.png"/><Relationship Id="rId37" Type="http://schemas.openxmlformats.org/officeDocument/2006/relationships/image" Target="media/image2.emf"/><Relationship Id="rId40" Type="http://schemas.openxmlformats.org/officeDocument/2006/relationships/footer" Target="footer1.xml"/><Relationship Id="rId5" Type="http://schemas.openxmlformats.org/officeDocument/2006/relationships/footnotes" Target="footnotes.xml"/><Relationship Id="rId23" Type="http://schemas.openxmlformats.org/officeDocument/2006/relationships/hyperlink" Target="https://doi.org/10.1177/0899764011404080" TargetMode="External"/><Relationship Id="rId36" Type="http://schemas.openxmlformats.org/officeDocument/2006/relationships/image" Target="media/image1.emf"/><Relationship Id="rId10" Type="http://schemas.openxmlformats.org/officeDocument/2006/relationships/image" Target="media/image25.png"/><Relationship Id="rId4" Type="http://schemas.openxmlformats.org/officeDocument/2006/relationships/webSettings" Target="webSettings.xml"/><Relationship Id="rId22" Type="http://schemas.openxmlformats.org/officeDocument/2006/relationships/hyperlink" Target="https://web.archive.org" TargetMode="External"/><Relationship Id="rId30" Type="http://schemas.openxmlformats.org/officeDocument/2006/relationships/hyperlink" Target="https://doi.org/10.1002/asi" TargetMode="External"/><Relationship Id="rId35" Type="http://schemas.openxmlformats.org/officeDocument/2006/relationships/hyperlink" Target="https://doi.org/10.5465/AMR.1997.9711022105" TargetMode="Externa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VJ0feWT940Rh0YuNcIHG0VE4OQ==">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7864</Words>
  <Characters>44828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Jamie Levine Daniel</dc:creator>
  <cp:lastModifiedBy>Jamie Levine Daniel</cp:lastModifiedBy>
  <cp:revision>4</cp:revision>
  <dcterms:created xsi:type="dcterms:W3CDTF">2023-11-17T21:19:00Z</dcterms:created>
  <dcterms:modified xsi:type="dcterms:W3CDTF">2023-11-17T21:29:00Z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gent">
    <vt:lpwstr>AppendPDF Pro 6.0 Linux Kernel 2.6 64bit May 18 2016 Library 10.1.0</vt:lpwstr>
  </property>
  <property fmtid="{D5CDD505-2E9C-101B-9397-08002B2CF9AE}" pid="3" name="Created">
    <vt:filetime>2023-08-07T00:00:00Z</vt:filetime>
  </property>
  <property fmtid="{D5CDD505-2E9C-101B-9397-08002B2CF9AE}" pid="4" name="Creator">
    <vt:lpwstr>Appligent AppendPDF Pro 6.0</vt:lpwstr>
  </property>
  <property fmtid="{D5CDD505-2E9C-101B-9397-08002B2CF9AE}" pid="5" name="LastSaved">
    <vt:filetime>2023-10-10T00:00:00Z</vt:filetime>
  </property>
  <property fmtid="{D5CDD505-2E9C-101B-9397-08002B2CF9AE}" pid="6" name="Producer">
    <vt:lpwstr>Aspose.PDF for Java 19.3</vt:lpwstr>
  </property>
</Properties>
</file>